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640" w:type="dxa"/>
        <w:tblInd w:w="-34" w:type="dxa"/>
        <w:tblLook w:val="04A0" w:firstRow="1" w:lastRow="0" w:firstColumn="1" w:lastColumn="0" w:noHBand="0" w:noVBand="1"/>
      </w:tblPr>
      <w:tblGrid>
        <w:gridCol w:w="2502"/>
        <w:gridCol w:w="1842"/>
        <w:gridCol w:w="1842"/>
        <w:gridCol w:w="1843"/>
        <w:gridCol w:w="1611"/>
      </w:tblGrid>
      <w:tr w:rsidR="00836C44" w:rsidRPr="001605B4" w14:paraId="302F58F3" w14:textId="77777777" w:rsidTr="001605B4">
        <w:tc>
          <w:tcPr>
            <w:tcW w:w="2502" w:type="dxa"/>
            <w:vMerge w:val="restart"/>
          </w:tcPr>
          <w:p w14:paraId="3E0D61B1" w14:textId="77777777" w:rsidR="00836C44" w:rsidRPr="001605B4" w:rsidRDefault="00836C44" w:rsidP="001605B4">
            <w:pPr>
              <w:spacing w:line="276" w:lineRule="auto"/>
              <w:rPr>
                <w:sz w:val="18"/>
              </w:rPr>
            </w:pPr>
            <w:r>
              <w:rPr>
                <w:b/>
                <w:sz w:val="18"/>
              </w:rPr>
              <w:t>Emessa da (responsabilità):</w:t>
            </w:r>
            <w:r>
              <w:rPr>
                <w:sz w:val="18"/>
              </w:rPr>
              <w:t xml:space="preserve"> </w:t>
            </w:r>
            <w:r>
              <w:rPr>
                <w:i/>
                <w:sz w:val="18"/>
              </w:rPr>
              <w:t>Reparto</w:t>
            </w:r>
          </w:p>
          <w:p w14:paraId="22698B75" w14:textId="77777777" w:rsidR="00836C44" w:rsidRPr="001605B4" w:rsidRDefault="00836C44" w:rsidP="001605B4">
            <w:pPr>
              <w:spacing w:line="276" w:lineRule="auto"/>
              <w:rPr>
                <w:sz w:val="18"/>
              </w:rPr>
            </w:pPr>
          </w:p>
          <w:p w14:paraId="4617DE45" w14:textId="77777777" w:rsidR="00836C44" w:rsidRPr="001605B4" w:rsidRDefault="00836C44" w:rsidP="001605B4">
            <w:pPr>
              <w:spacing w:line="276" w:lineRule="auto"/>
              <w:rPr>
                <w:b/>
                <w:sz w:val="18"/>
              </w:rPr>
            </w:pPr>
            <w:r>
              <w:rPr>
                <w:b/>
                <w:sz w:val="18"/>
              </w:rPr>
              <w:t>Elaborata da:</w:t>
            </w:r>
          </w:p>
          <w:p w14:paraId="1CB6E3F2" w14:textId="77777777" w:rsidR="00836C44" w:rsidRPr="001605B4" w:rsidRDefault="00836C44" w:rsidP="001605B4">
            <w:pPr>
              <w:spacing w:line="276" w:lineRule="auto"/>
              <w:rPr>
                <w:sz w:val="18"/>
              </w:rPr>
            </w:pPr>
          </w:p>
        </w:tc>
        <w:tc>
          <w:tcPr>
            <w:tcW w:w="1842" w:type="dxa"/>
            <w:tcBorders>
              <w:bottom w:val="nil"/>
              <w:right w:val="nil"/>
            </w:tcBorders>
          </w:tcPr>
          <w:p w14:paraId="2F537D74" w14:textId="77777777" w:rsidR="00836C44" w:rsidRPr="001605B4" w:rsidRDefault="00836C44" w:rsidP="001605B4">
            <w:pPr>
              <w:spacing w:line="276" w:lineRule="auto"/>
              <w:rPr>
                <w:b/>
                <w:sz w:val="18"/>
              </w:rPr>
            </w:pPr>
            <w:r>
              <w:rPr>
                <w:b/>
                <w:sz w:val="18"/>
              </w:rPr>
              <w:t>Data di pubblicazione:</w:t>
            </w:r>
          </w:p>
          <w:p w14:paraId="31008A02" w14:textId="77777777" w:rsidR="00836C44" w:rsidRPr="001605B4" w:rsidRDefault="00836C44" w:rsidP="001605B4">
            <w:pPr>
              <w:spacing w:line="276" w:lineRule="auto"/>
              <w:rPr>
                <w:sz w:val="18"/>
              </w:rPr>
            </w:pPr>
          </w:p>
        </w:tc>
        <w:tc>
          <w:tcPr>
            <w:tcW w:w="1842" w:type="dxa"/>
            <w:tcBorders>
              <w:left w:val="nil"/>
              <w:bottom w:val="nil"/>
            </w:tcBorders>
          </w:tcPr>
          <w:p w14:paraId="7CBB3169" w14:textId="77777777" w:rsidR="00836C44" w:rsidRPr="001605B4" w:rsidRDefault="00836C44" w:rsidP="001605B4">
            <w:pPr>
              <w:spacing w:line="276" w:lineRule="auto"/>
              <w:rPr>
                <w:b/>
                <w:sz w:val="18"/>
              </w:rPr>
            </w:pPr>
            <w:r>
              <w:rPr>
                <w:b/>
                <w:sz w:val="18"/>
              </w:rPr>
              <w:t>Entrata in vigore:</w:t>
            </w:r>
          </w:p>
          <w:p w14:paraId="34637C4F" w14:textId="77777777" w:rsidR="00836C44" w:rsidRPr="001605B4" w:rsidRDefault="00836C44" w:rsidP="001605B4">
            <w:pPr>
              <w:spacing w:line="276" w:lineRule="auto"/>
              <w:rPr>
                <w:sz w:val="18"/>
              </w:rPr>
            </w:pPr>
          </w:p>
        </w:tc>
        <w:tc>
          <w:tcPr>
            <w:tcW w:w="1843" w:type="dxa"/>
            <w:tcBorders>
              <w:bottom w:val="nil"/>
              <w:right w:val="nil"/>
            </w:tcBorders>
          </w:tcPr>
          <w:p w14:paraId="67A4C394" w14:textId="77777777" w:rsidR="00836C44" w:rsidRPr="001605B4" w:rsidRDefault="00836C44" w:rsidP="001605B4">
            <w:pPr>
              <w:spacing w:line="276" w:lineRule="auto"/>
              <w:rPr>
                <w:b/>
                <w:sz w:val="18"/>
              </w:rPr>
            </w:pPr>
            <w:r>
              <w:rPr>
                <w:b/>
                <w:sz w:val="18"/>
              </w:rPr>
              <w:t>Attribuzione:</w:t>
            </w:r>
          </w:p>
        </w:tc>
        <w:tc>
          <w:tcPr>
            <w:tcW w:w="1611" w:type="dxa"/>
            <w:tcBorders>
              <w:left w:val="nil"/>
              <w:bottom w:val="nil"/>
            </w:tcBorders>
          </w:tcPr>
          <w:p w14:paraId="36EFFFA6" w14:textId="77777777" w:rsidR="00836C44" w:rsidRPr="001605B4" w:rsidRDefault="00836C44" w:rsidP="001605B4">
            <w:pPr>
              <w:spacing w:line="276" w:lineRule="auto"/>
              <w:rPr>
                <w:b/>
                <w:sz w:val="18"/>
              </w:rPr>
            </w:pPr>
            <w:r>
              <w:rPr>
                <w:b/>
                <w:sz w:val="18"/>
              </w:rPr>
              <w:t>Classificazione:</w:t>
            </w:r>
          </w:p>
        </w:tc>
      </w:tr>
      <w:tr w:rsidR="00836C44" w:rsidRPr="001605B4" w14:paraId="4FD02835" w14:textId="77777777" w:rsidTr="001605B4">
        <w:tc>
          <w:tcPr>
            <w:tcW w:w="2502" w:type="dxa"/>
            <w:vMerge/>
            <w:tcBorders>
              <w:bottom w:val="single" w:sz="4" w:space="0" w:color="auto"/>
            </w:tcBorders>
          </w:tcPr>
          <w:p w14:paraId="23742D5C" w14:textId="77777777" w:rsidR="00836C44" w:rsidRPr="001605B4" w:rsidRDefault="00836C44" w:rsidP="001605B4">
            <w:pPr>
              <w:spacing w:line="276" w:lineRule="auto"/>
              <w:rPr>
                <w:sz w:val="18"/>
              </w:rPr>
            </w:pPr>
          </w:p>
        </w:tc>
        <w:tc>
          <w:tcPr>
            <w:tcW w:w="3684" w:type="dxa"/>
            <w:gridSpan w:val="2"/>
            <w:tcBorders>
              <w:top w:val="nil"/>
              <w:bottom w:val="single" w:sz="4" w:space="0" w:color="auto"/>
            </w:tcBorders>
          </w:tcPr>
          <w:p w14:paraId="625A38A7" w14:textId="77777777" w:rsidR="008C3CDB" w:rsidRDefault="008C3CDB" w:rsidP="001605B4">
            <w:pPr>
              <w:spacing w:line="276" w:lineRule="auto"/>
              <w:rPr>
                <w:b/>
                <w:sz w:val="18"/>
              </w:rPr>
            </w:pPr>
          </w:p>
          <w:p w14:paraId="3AFCD60C" w14:textId="6E0F7722" w:rsidR="00836C44" w:rsidRPr="001605B4" w:rsidRDefault="00836C44" w:rsidP="001605B4">
            <w:pPr>
              <w:spacing w:line="276" w:lineRule="auto"/>
              <w:rPr>
                <w:b/>
                <w:sz w:val="18"/>
              </w:rPr>
            </w:pPr>
            <w:r>
              <w:rPr>
                <w:b/>
                <w:sz w:val="18"/>
              </w:rPr>
              <w:t>Approvazione:</w:t>
            </w:r>
          </w:p>
          <w:p w14:paraId="10AC69F9" w14:textId="77777777" w:rsidR="00836C44" w:rsidRPr="001605B4" w:rsidRDefault="00836C44" w:rsidP="001605B4">
            <w:pPr>
              <w:spacing w:line="276" w:lineRule="auto"/>
              <w:rPr>
                <w:sz w:val="18"/>
              </w:rPr>
            </w:pPr>
          </w:p>
        </w:tc>
        <w:tc>
          <w:tcPr>
            <w:tcW w:w="3454" w:type="dxa"/>
            <w:gridSpan w:val="2"/>
            <w:tcBorders>
              <w:top w:val="nil"/>
              <w:bottom w:val="single" w:sz="4" w:space="0" w:color="auto"/>
            </w:tcBorders>
          </w:tcPr>
          <w:p w14:paraId="36A37E9E" w14:textId="77777777" w:rsidR="008C3CDB" w:rsidRDefault="008C3CDB" w:rsidP="001605B4">
            <w:pPr>
              <w:spacing w:line="276" w:lineRule="auto"/>
              <w:rPr>
                <w:b/>
                <w:sz w:val="18"/>
              </w:rPr>
            </w:pPr>
          </w:p>
          <w:p w14:paraId="416A203E" w14:textId="3A3C4EB0" w:rsidR="00836C44" w:rsidRPr="001605B4" w:rsidRDefault="00836C44" w:rsidP="001605B4">
            <w:pPr>
              <w:spacing w:line="276" w:lineRule="auto"/>
              <w:rPr>
                <w:b/>
                <w:sz w:val="18"/>
              </w:rPr>
            </w:pPr>
            <w:r>
              <w:rPr>
                <w:b/>
                <w:sz w:val="18"/>
              </w:rPr>
              <w:t>Sostituisce:</w:t>
            </w:r>
          </w:p>
          <w:p w14:paraId="1F63B980" w14:textId="77777777" w:rsidR="00836C44" w:rsidRPr="001605B4" w:rsidRDefault="00836C44" w:rsidP="001605B4">
            <w:pPr>
              <w:spacing w:line="276" w:lineRule="auto"/>
              <w:rPr>
                <w:sz w:val="18"/>
              </w:rPr>
            </w:pPr>
          </w:p>
        </w:tc>
      </w:tr>
      <w:tr w:rsidR="00836C44" w:rsidRPr="001605B4" w14:paraId="49A35A63" w14:textId="77777777" w:rsidTr="001605B4">
        <w:tc>
          <w:tcPr>
            <w:tcW w:w="6186" w:type="dxa"/>
            <w:gridSpan w:val="3"/>
            <w:tcBorders>
              <w:right w:val="nil"/>
            </w:tcBorders>
          </w:tcPr>
          <w:p w14:paraId="7FA368BE" w14:textId="77777777" w:rsidR="00836C44" w:rsidRPr="001605B4" w:rsidRDefault="00836C44" w:rsidP="001605B4">
            <w:pPr>
              <w:spacing w:line="276" w:lineRule="auto"/>
              <w:rPr>
                <w:b/>
                <w:sz w:val="18"/>
              </w:rPr>
            </w:pPr>
            <w:r>
              <w:rPr>
                <w:b/>
                <w:sz w:val="18"/>
              </w:rPr>
              <w:t>Lista di distribuzione:</w:t>
            </w:r>
          </w:p>
          <w:p w14:paraId="3AF64C04" w14:textId="77777777" w:rsidR="00836C44" w:rsidRPr="001605B4" w:rsidRDefault="00836C44" w:rsidP="001605B4">
            <w:pPr>
              <w:spacing w:line="276" w:lineRule="auto"/>
              <w:rPr>
                <w:i/>
                <w:sz w:val="18"/>
              </w:rPr>
            </w:pPr>
            <w:r>
              <w:rPr>
                <w:i/>
                <w:sz w:val="18"/>
              </w:rPr>
              <w:t>Settori aziendali / tutta l’azienda</w:t>
            </w:r>
          </w:p>
          <w:p w14:paraId="15CF0D32" w14:textId="77777777" w:rsidR="00836C44" w:rsidRPr="001605B4" w:rsidRDefault="00836C44" w:rsidP="001605B4">
            <w:pPr>
              <w:spacing w:line="276" w:lineRule="auto"/>
              <w:rPr>
                <w:sz w:val="18"/>
              </w:rPr>
            </w:pPr>
          </w:p>
          <w:p w14:paraId="433A058A" w14:textId="77777777" w:rsidR="00836C44" w:rsidRPr="001605B4" w:rsidRDefault="00836C44" w:rsidP="001605B4">
            <w:pPr>
              <w:spacing w:line="276" w:lineRule="auto"/>
              <w:rPr>
                <w:sz w:val="18"/>
              </w:rPr>
            </w:pPr>
          </w:p>
        </w:tc>
        <w:tc>
          <w:tcPr>
            <w:tcW w:w="3454" w:type="dxa"/>
            <w:gridSpan w:val="2"/>
            <w:tcBorders>
              <w:left w:val="nil"/>
            </w:tcBorders>
          </w:tcPr>
          <w:p w14:paraId="23F358D3" w14:textId="77777777" w:rsidR="00836C44" w:rsidRPr="001605B4" w:rsidRDefault="00836C44" w:rsidP="001605B4">
            <w:pPr>
              <w:spacing w:line="276" w:lineRule="auto"/>
              <w:rPr>
                <w:sz w:val="18"/>
              </w:rPr>
            </w:pPr>
            <w:r>
              <w:rPr>
                <w:b/>
                <w:sz w:val="18"/>
              </w:rPr>
              <w:t>Versione linguistica:</w:t>
            </w:r>
            <w:r>
              <w:rPr>
                <w:sz w:val="18"/>
              </w:rPr>
              <w:t xml:space="preserve"> </w:t>
            </w:r>
            <w:r>
              <w:rPr>
                <w:sz w:val="18"/>
                <w:u w:val="single"/>
              </w:rPr>
              <w:t>d</w:t>
            </w:r>
            <w:r>
              <w:rPr>
                <w:sz w:val="18"/>
              </w:rPr>
              <w:t>/f/i</w:t>
            </w:r>
          </w:p>
        </w:tc>
      </w:tr>
    </w:tbl>
    <w:p w14:paraId="1ACF6999" w14:textId="77777777" w:rsidR="00836C44" w:rsidRPr="001605B4" w:rsidRDefault="00836C44" w:rsidP="00836C44"/>
    <w:p w14:paraId="2212E00F" w14:textId="77777777" w:rsidR="00836C44" w:rsidRDefault="00836C44" w:rsidP="00836C44"/>
    <w:p w14:paraId="3D8325B9" w14:textId="77777777" w:rsidR="002F620A" w:rsidRPr="002F620A" w:rsidRDefault="002F620A" w:rsidP="002F620A">
      <w:pPr>
        <w:jc w:val="both"/>
        <w:rPr>
          <w:u w:val="single"/>
        </w:rPr>
      </w:pPr>
      <w:bookmarkStart w:id="0" w:name="TR_NXT_58"/>
      <w:bookmarkEnd w:id="0"/>
      <w:r>
        <w:rPr>
          <w:u w:val="single"/>
        </w:rPr>
        <w:t>Nota</w:t>
      </w:r>
    </w:p>
    <w:p w14:paraId="6B4AF31D" w14:textId="77777777" w:rsidR="002F620A" w:rsidRDefault="002F620A" w:rsidP="002F620A">
      <w:pPr>
        <w:jc w:val="both"/>
      </w:pPr>
      <w:bookmarkStart w:id="1" w:name="TR_NXT_62"/>
      <w:bookmarkEnd w:id="1"/>
      <w:r>
        <w:t xml:space="preserve">Nel quadro dell’impegno a favore di una gestione della mobilità all’avanguardia nelle imprese, le FFS offrono un’assistenza ottimale in tutte le sfide legate alla mobilità aziendale, con l’obiettivo di incrementarne la sostenibilità economica, ecologica e sociale. Oltre a disporre di un portafoglio di servizi di mobilità per tutti i sistemi di trasporto (trasporti pubblici, trasporto individuale motorizzato e traffico lento), contiamo su una buona rete di partner che operano nel settore della pianificazione della mobilità e del traffico. </w:t>
      </w:r>
    </w:p>
    <w:p w14:paraId="03548FAA" w14:textId="77777777" w:rsidR="004B01EF" w:rsidRDefault="004B01EF" w:rsidP="002F620A">
      <w:pPr>
        <w:jc w:val="both"/>
      </w:pPr>
    </w:p>
    <w:p w14:paraId="4B10AB6D" w14:textId="464294D5" w:rsidR="002F620A" w:rsidRPr="004B01EF" w:rsidRDefault="002F620A" w:rsidP="002F620A">
      <w:pPr>
        <w:jc w:val="both"/>
        <w:rPr>
          <w:u w:val="single"/>
        </w:rPr>
      </w:pPr>
      <w:bookmarkStart w:id="2" w:name="TR_NXT_65"/>
      <w:bookmarkEnd w:id="2"/>
      <w:r>
        <w:rPr>
          <w:u w:val="single"/>
        </w:rPr>
        <w:t>Esclusione di responsabilità:</w:t>
      </w:r>
    </w:p>
    <w:p w14:paraId="598D42E6" w14:textId="6DE6692C" w:rsidR="002F620A" w:rsidRPr="003B0A75" w:rsidRDefault="002F620A" w:rsidP="002F620A">
      <w:pPr>
        <w:jc w:val="both"/>
      </w:pPr>
      <w:bookmarkStart w:id="3" w:name="TR_NXT_67"/>
      <w:bookmarkEnd w:id="3"/>
      <w:r>
        <w:t xml:space="preserve">Le FFS declinano qualsiasi genere di responsabilità riguardo ai contenuti, alle raccomandazioni o a eventuali conseguenze derivanti dall’implementazione del presente modello di documento, che non intende sostituire una consulenza da parte di consulenti di mobilità accreditati, né pretende di essere esaustivo o legalmente vincolante. Per richieste individuali o dubbi di natura legale è opportuno </w:t>
      </w:r>
      <w:r w:rsidR="00A052A5">
        <w:t>ricorrere</w:t>
      </w:r>
      <w:r>
        <w:t xml:space="preserve"> all’assistenza di professionisti.</w:t>
      </w:r>
    </w:p>
    <w:p w14:paraId="1B4C4447" w14:textId="77777777" w:rsidR="002F620A" w:rsidRPr="003B0A75" w:rsidRDefault="009A4FF9" w:rsidP="002F620A">
      <w:pPr>
        <w:jc w:val="both"/>
      </w:pPr>
      <w:bookmarkStart w:id="4" w:name="TR_NXT_69"/>
      <w:bookmarkEnd w:id="4"/>
      <w:r>
        <w:pict w14:anchorId="002F9C13">
          <v:rect id="_x0000_i1025" style="width:0;height:1.5pt" o:hralign="center" o:hrstd="t" o:hr="t" fillcolor="#a0a0a0" stroked="f"/>
        </w:pict>
      </w:r>
    </w:p>
    <w:p w14:paraId="57E41FA6" w14:textId="77777777" w:rsidR="002F620A" w:rsidRDefault="002F620A" w:rsidP="002F620A">
      <w:pPr>
        <w:jc w:val="both"/>
      </w:pPr>
      <w:bookmarkStart w:id="5" w:name="TR_NXT_71"/>
      <w:bookmarkEnd w:id="5"/>
      <w:r>
        <w:br w:type="page"/>
      </w:r>
    </w:p>
    <w:p w14:paraId="4331FF3A" w14:textId="77777777" w:rsidR="002F620A" w:rsidRDefault="002F620A" w:rsidP="00836C44"/>
    <w:p w14:paraId="12DA801C" w14:textId="77777777" w:rsidR="002F620A" w:rsidRDefault="002F620A" w:rsidP="00836C44"/>
    <w:p w14:paraId="127D4A26" w14:textId="77777777" w:rsidR="002F620A" w:rsidRDefault="002F620A" w:rsidP="00836C44"/>
    <w:p w14:paraId="67DC0EC5" w14:textId="77777777" w:rsidR="002F620A" w:rsidRPr="001605B4" w:rsidRDefault="002F620A" w:rsidP="00836C44"/>
    <w:p w14:paraId="492A723F" w14:textId="77777777" w:rsidR="00836C44" w:rsidRPr="001605B4" w:rsidRDefault="00836C44" w:rsidP="00836C44">
      <w:pPr>
        <w:pStyle w:val="Titel"/>
        <w:rPr>
          <w:rFonts w:ascii="Arial" w:hAnsi="Arial" w:cs="Arial"/>
          <w:color w:val="365F91" w:themeColor="accent1" w:themeShade="BF"/>
        </w:rPr>
      </w:pPr>
      <w:bookmarkStart w:id="6" w:name="TR_NXT_76"/>
      <w:bookmarkEnd w:id="6"/>
      <w:r>
        <w:rPr>
          <w:rFonts w:ascii="Arial" w:hAnsi="Arial" w:cs="Arial"/>
          <w:i/>
          <w:color w:val="365F91" w:themeColor="accent1" w:themeShade="BF"/>
        </w:rPr>
        <w:t>MODELLO</w:t>
      </w:r>
      <w:r>
        <w:rPr>
          <w:rFonts w:ascii="Arial" w:hAnsi="Arial" w:cs="Arial"/>
          <w:color w:val="365F91" w:themeColor="accent1" w:themeShade="BF"/>
        </w:rPr>
        <w:t xml:space="preserve"> Direttiva sui viaggi di lavoro </w:t>
      </w:r>
    </w:p>
    <w:p w14:paraId="7C6DA9B5" w14:textId="77777777" w:rsidR="00836C44" w:rsidRPr="001605B4" w:rsidRDefault="00836C44" w:rsidP="00836C44">
      <w:pPr>
        <w:pStyle w:val="berschrift1"/>
        <w:keepLines/>
        <w:numPr>
          <w:ilvl w:val="0"/>
          <w:numId w:val="4"/>
        </w:numPr>
        <w:spacing w:before="480" w:after="0"/>
        <w:rPr>
          <w:rFonts w:cs="Arial"/>
        </w:rPr>
      </w:pPr>
      <w:bookmarkStart w:id="7" w:name="TR_NXT_84"/>
      <w:bookmarkEnd w:id="7"/>
      <w:r>
        <w:rPr>
          <w:rFonts w:cs="Arial"/>
        </w:rPr>
        <w:t>Principi</w:t>
      </w:r>
    </w:p>
    <w:p w14:paraId="16148842" w14:textId="77777777" w:rsidR="00836C44" w:rsidRPr="001605B4" w:rsidRDefault="00836C44" w:rsidP="00836C44">
      <w:pPr>
        <w:jc w:val="both"/>
        <w:rPr>
          <w:color w:val="000000" w:themeColor="text1"/>
        </w:rPr>
      </w:pPr>
    </w:p>
    <w:p w14:paraId="2CBBF710" w14:textId="77777777" w:rsidR="00836C44" w:rsidRPr="001605B4" w:rsidRDefault="00836C44" w:rsidP="00836C44">
      <w:pPr>
        <w:jc w:val="both"/>
        <w:rPr>
          <w:color w:val="000000" w:themeColor="text1"/>
        </w:rPr>
      </w:pPr>
      <w:bookmarkStart w:id="8" w:name="TR_NXT_90"/>
      <w:bookmarkEnd w:id="8"/>
      <w:r>
        <w:rPr>
          <w:color w:val="000000" w:themeColor="text1"/>
        </w:rPr>
        <w:t xml:space="preserve">Il reparto Acquisti è competente per l’acquisizione conveniente di servizi esterni nell’ambito dei viaggi di lavoro sul territorio nazionale e all’estero. Il </w:t>
      </w:r>
      <w:r>
        <w:rPr>
          <w:i/>
          <w:color w:val="000000" w:themeColor="text1"/>
        </w:rPr>
        <w:t>reparto XXX</w:t>
      </w:r>
      <w:r>
        <w:rPr>
          <w:color w:val="000000" w:themeColor="text1"/>
        </w:rPr>
        <w:t xml:space="preserve"> si occupa della prenotazione dei viaggi di lavoro.</w:t>
      </w:r>
    </w:p>
    <w:p w14:paraId="4201E54C" w14:textId="77777777" w:rsidR="00836C44" w:rsidRPr="001605B4" w:rsidRDefault="00836C44" w:rsidP="00836C44">
      <w:pPr>
        <w:pStyle w:val="berschrift1"/>
        <w:keepLines/>
        <w:numPr>
          <w:ilvl w:val="0"/>
          <w:numId w:val="4"/>
        </w:numPr>
        <w:spacing w:before="480" w:after="0"/>
        <w:rPr>
          <w:rFonts w:cs="Arial"/>
        </w:rPr>
      </w:pPr>
      <w:bookmarkStart w:id="9" w:name="TR_NXT_95"/>
      <w:bookmarkEnd w:id="9"/>
      <w:r>
        <w:rPr>
          <w:rFonts w:cs="Arial"/>
        </w:rPr>
        <w:t>Campo d’applicazione</w:t>
      </w:r>
    </w:p>
    <w:p w14:paraId="5DC66F32" w14:textId="77777777" w:rsidR="00836C44" w:rsidRPr="001605B4" w:rsidRDefault="00836C44" w:rsidP="00836C44">
      <w:pPr>
        <w:jc w:val="both"/>
        <w:rPr>
          <w:color w:val="000000" w:themeColor="text1"/>
        </w:rPr>
      </w:pPr>
    </w:p>
    <w:p w14:paraId="20A4C228" w14:textId="77777777" w:rsidR="00836C44" w:rsidRPr="001605B4" w:rsidRDefault="00836C44" w:rsidP="00836C44">
      <w:pPr>
        <w:jc w:val="both"/>
        <w:rPr>
          <w:color w:val="000000" w:themeColor="text1"/>
        </w:rPr>
      </w:pPr>
      <w:bookmarkStart w:id="10" w:name="TR_NXT_98"/>
      <w:bookmarkEnd w:id="10"/>
      <w:r>
        <w:rPr>
          <w:color w:val="000000" w:themeColor="text1"/>
        </w:rPr>
        <w:t>La presente direttiva relativa ai viaggi di lavoro è valida per tutte le unità aziendali:</w:t>
      </w:r>
    </w:p>
    <w:p w14:paraId="6BB94F12" w14:textId="77777777" w:rsidR="00836C44" w:rsidRPr="001605B4" w:rsidRDefault="00836C44" w:rsidP="00836C44">
      <w:pPr>
        <w:pStyle w:val="Listenabsatz"/>
        <w:numPr>
          <w:ilvl w:val="0"/>
          <w:numId w:val="2"/>
        </w:numPr>
        <w:jc w:val="both"/>
        <w:rPr>
          <w:i/>
          <w:color w:val="000000" w:themeColor="text1"/>
        </w:rPr>
      </w:pPr>
      <w:r>
        <w:rPr>
          <w:i/>
          <w:color w:val="000000" w:themeColor="text1"/>
        </w:rPr>
        <w:t>Reparto XXX</w:t>
      </w:r>
    </w:p>
    <w:p w14:paraId="3F1B5DE0" w14:textId="77777777" w:rsidR="00836C44" w:rsidRPr="001605B4" w:rsidRDefault="00836C44" w:rsidP="00836C44">
      <w:pPr>
        <w:pStyle w:val="Listenabsatz"/>
        <w:numPr>
          <w:ilvl w:val="0"/>
          <w:numId w:val="2"/>
        </w:numPr>
        <w:jc w:val="both"/>
        <w:rPr>
          <w:i/>
          <w:color w:val="000000" w:themeColor="text1"/>
        </w:rPr>
      </w:pPr>
      <w:r>
        <w:rPr>
          <w:i/>
          <w:color w:val="000000" w:themeColor="text1"/>
        </w:rPr>
        <w:t>Reparto XYZ</w:t>
      </w:r>
    </w:p>
    <w:p w14:paraId="17ED296D" w14:textId="77777777" w:rsidR="00836C44" w:rsidRPr="001605B4" w:rsidRDefault="00836C44" w:rsidP="00836C44">
      <w:pPr>
        <w:pStyle w:val="Listenabsatz"/>
        <w:numPr>
          <w:ilvl w:val="0"/>
          <w:numId w:val="2"/>
        </w:numPr>
        <w:jc w:val="both"/>
        <w:rPr>
          <w:color w:val="000000" w:themeColor="text1"/>
        </w:rPr>
      </w:pPr>
      <w:r>
        <w:rPr>
          <w:i/>
          <w:color w:val="000000" w:themeColor="text1"/>
        </w:rPr>
        <w:t>Impresa congiunta (joint venture al 50%-50%), se così concordato.</w:t>
      </w:r>
    </w:p>
    <w:p w14:paraId="005B0648" w14:textId="77777777" w:rsidR="00836C44" w:rsidRPr="001605B4" w:rsidRDefault="00836C44" w:rsidP="00836C44">
      <w:pPr>
        <w:jc w:val="both"/>
        <w:rPr>
          <w:color w:val="000000" w:themeColor="text1"/>
        </w:rPr>
      </w:pPr>
    </w:p>
    <w:p w14:paraId="3F0C96CD" w14:textId="77777777" w:rsidR="00836C44" w:rsidRPr="001605B4" w:rsidRDefault="00836C44" w:rsidP="00836C44">
      <w:pPr>
        <w:jc w:val="both"/>
        <w:rPr>
          <w:color w:val="000000" w:themeColor="text1"/>
        </w:rPr>
      </w:pPr>
      <w:bookmarkStart w:id="11" w:name="TR_NXT_111"/>
      <w:bookmarkEnd w:id="11"/>
      <w:r>
        <w:rPr>
          <w:color w:val="000000" w:themeColor="text1"/>
        </w:rPr>
        <w:t>L’applicazione si estende a:</w:t>
      </w:r>
    </w:p>
    <w:p w14:paraId="61021B7A" w14:textId="77777777" w:rsidR="00836C44" w:rsidRPr="001605B4" w:rsidRDefault="00836C44" w:rsidP="00836C44">
      <w:pPr>
        <w:pStyle w:val="Listenabsatz"/>
        <w:numPr>
          <w:ilvl w:val="0"/>
          <w:numId w:val="3"/>
        </w:numPr>
        <w:jc w:val="both"/>
        <w:rPr>
          <w:color w:val="000000" w:themeColor="text1"/>
        </w:rPr>
      </w:pPr>
      <w:r>
        <w:rPr>
          <w:color w:val="000000" w:themeColor="text1"/>
        </w:rPr>
        <w:t>Viaggi in treno</w:t>
      </w:r>
    </w:p>
    <w:p w14:paraId="28E4F9DA" w14:textId="77777777" w:rsidR="00836C44" w:rsidRPr="001605B4" w:rsidRDefault="00836C44" w:rsidP="00836C44">
      <w:pPr>
        <w:pStyle w:val="Listenabsatz"/>
        <w:numPr>
          <w:ilvl w:val="0"/>
          <w:numId w:val="3"/>
        </w:numPr>
        <w:jc w:val="both"/>
        <w:rPr>
          <w:color w:val="000000" w:themeColor="text1"/>
        </w:rPr>
      </w:pPr>
      <w:r>
        <w:rPr>
          <w:color w:val="000000" w:themeColor="text1"/>
        </w:rPr>
        <w:t>Voli</w:t>
      </w:r>
    </w:p>
    <w:p w14:paraId="7351F490" w14:textId="77777777" w:rsidR="00836C44" w:rsidRPr="001605B4" w:rsidRDefault="00836C44" w:rsidP="00836C44">
      <w:pPr>
        <w:pStyle w:val="Listenabsatz"/>
        <w:numPr>
          <w:ilvl w:val="0"/>
          <w:numId w:val="3"/>
        </w:numPr>
        <w:jc w:val="both"/>
        <w:rPr>
          <w:color w:val="000000" w:themeColor="text1"/>
        </w:rPr>
      </w:pPr>
      <w:r>
        <w:rPr>
          <w:color w:val="000000" w:themeColor="text1"/>
        </w:rPr>
        <w:t>Pernottamenti in hotel</w:t>
      </w:r>
    </w:p>
    <w:p w14:paraId="2A202662" w14:textId="77777777" w:rsidR="00836C44" w:rsidRPr="001605B4" w:rsidRDefault="00836C44" w:rsidP="00836C44">
      <w:pPr>
        <w:pStyle w:val="Listenabsatz"/>
        <w:numPr>
          <w:ilvl w:val="0"/>
          <w:numId w:val="3"/>
        </w:numPr>
        <w:jc w:val="both"/>
        <w:rPr>
          <w:color w:val="000000" w:themeColor="text1"/>
        </w:rPr>
      </w:pPr>
      <w:r>
        <w:rPr>
          <w:color w:val="000000" w:themeColor="text1"/>
        </w:rPr>
        <w:t>Auto a noleggio</w:t>
      </w:r>
    </w:p>
    <w:p w14:paraId="2E6D5100" w14:textId="77777777" w:rsidR="00836C44" w:rsidRPr="001605B4" w:rsidRDefault="00836C44" w:rsidP="00836C44">
      <w:pPr>
        <w:pStyle w:val="berschrift1"/>
        <w:keepLines/>
        <w:numPr>
          <w:ilvl w:val="0"/>
          <w:numId w:val="4"/>
        </w:numPr>
        <w:spacing w:before="480" w:after="0"/>
        <w:rPr>
          <w:rFonts w:cs="Arial"/>
        </w:rPr>
      </w:pPr>
      <w:bookmarkStart w:id="12" w:name="TR_NXT_121"/>
      <w:bookmarkEnd w:id="12"/>
      <w:r>
        <w:rPr>
          <w:rFonts w:cs="Arial"/>
        </w:rPr>
        <w:t>Scopo e norme</w:t>
      </w:r>
    </w:p>
    <w:p w14:paraId="32C926D9" w14:textId="77777777" w:rsidR="00836C44" w:rsidRPr="001605B4" w:rsidRDefault="00836C44" w:rsidP="00836C44">
      <w:pPr>
        <w:jc w:val="both"/>
        <w:rPr>
          <w:color w:val="000000" w:themeColor="text1"/>
        </w:rPr>
      </w:pPr>
    </w:p>
    <w:p w14:paraId="69E40EFF" w14:textId="77777777" w:rsidR="00836C44" w:rsidRPr="001605B4" w:rsidRDefault="00836C44" w:rsidP="00836C44">
      <w:pPr>
        <w:jc w:val="both"/>
        <w:rPr>
          <w:color w:val="000000" w:themeColor="text1"/>
        </w:rPr>
      </w:pPr>
      <w:bookmarkStart w:id="13" w:name="TR_NXT_124"/>
      <w:bookmarkEnd w:id="13"/>
      <w:r>
        <w:rPr>
          <w:color w:val="000000" w:themeColor="text1"/>
        </w:rPr>
        <w:t xml:space="preserve">La presente direttiva disciplina la procedura di ordinazione dei servizi necessari nell’ambito dei viaggi di lavoro in Svizzera e all’estero. Lo scopo della direttiva è quello di assicurare un’acquisizione conveniente con la contemporanea riduzione al minimo per i committenti dell’onere per l’ordine. </w:t>
      </w:r>
    </w:p>
    <w:p w14:paraId="6D20475E" w14:textId="77777777" w:rsidR="00836C44" w:rsidRPr="001605B4" w:rsidRDefault="00836C44" w:rsidP="00836C44">
      <w:pPr>
        <w:pStyle w:val="berschrift1"/>
        <w:keepLines/>
        <w:numPr>
          <w:ilvl w:val="0"/>
          <w:numId w:val="4"/>
        </w:numPr>
        <w:spacing w:before="480" w:after="0"/>
        <w:rPr>
          <w:rFonts w:cs="Arial"/>
        </w:rPr>
      </w:pPr>
      <w:bookmarkStart w:id="14" w:name="TR_NXT_126"/>
      <w:bookmarkEnd w:id="14"/>
      <w:r>
        <w:rPr>
          <w:rFonts w:cs="Arial"/>
        </w:rPr>
        <w:t>Autorizzazione del viaggio</w:t>
      </w:r>
    </w:p>
    <w:p w14:paraId="0A5ECF39" w14:textId="77777777" w:rsidR="00836C44" w:rsidRPr="001605B4" w:rsidRDefault="00836C44" w:rsidP="00836C44">
      <w:pPr>
        <w:jc w:val="both"/>
        <w:rPr>
          <w:color w:val="000000" w:themeColor="text1"/>
        </w:rPr>
      </w:pPr>
    </w:p>
    <w:p w14:paraId="72406ABC" w14:textId="77777777" w:rsidR="00836C44" w:rsidRPr="001605B4" w:rsidRDefault="00836C44" w:rsidP="00836C44">
      <w:pPr>
        <w:jc w:val="both"/>
        <w:rPr>
          <w:color w:val="000000" w:themeColor="text1"/>
        </w:rPr>
      </w:pPr>
      <w:bookmarkStart w:id="15" w:name="TR_NXT_129"/>
      <w:bookmarkEnd w:id="15"/>
      <w:r>
        <w:rPr>
          <w:color w:val="000000" w:themeColor="text1"/>
        </w:rPr>
        <w:t>La pianificazione e la realizzazione di viaggi di lavoro all’estero dovrà essere concordata con il/la superiore di volta in volta responsabile che li autorizzerà. Il/la superiore gerarchico/a verificherà che siano in linea con gli obiettivi formulati e che siano necessari.</w:t>
      </w:r>
    </w:p>
    <w:p w14:paraId="2C4BB4DF" w14:textId="77777777" w:rsidR="00836C44" w:rsidRPr="001605B4" w:rsidRDefault="00836C44" w:rsidP="00836C44">
      <w:pPr>
        <w:jc w:val="both"/>
        <w:rPr>
          <w:color w:val="000000" w:themeColor="text1"/>
        </w:rPr>
      </w:pPr>
    </w:p>
    <w:p w14:paraId="6F668B2D" w14:textId="77777777" w:rsidR="00836C44" w:rsidRPr="001605B4" w:rsidRDefault="00836C44" w:rsidP="00836C44">
      <w:pPr>
        <w:pStyle w:val="berschrift1"/>
        <w:keepLines/>
        <w:numPr>
          <w:ilvl w:val="0"/>
          <w:numId w:val="4"/>
        </w:numPr>
        <w:spacing w:before="480" w:after="0"/>
        <w:rPr>
          <w:rFonts w:cs="Arial"/>
        </w:rPr>
      </w:pPr>
      <w:bookmarkStart w:id="16" w:name="TR_NXT_140"/>
      <w:bookmarkEnd w:id="16"/>
      <w:r>
        <w:rPr>
          <w:rFonts w:cs="Arial"/>
        </w:rPr>
        <w:t>Viaggi di lavoro in Svizzera</w:t>
      </w:r>
    </w:p>
    <w:p w14:paraId="4BF63814" w14:textId="77777777" w:rsidR="00836C44" w:rsidRPr="001605B4" w:rsidRDefault="00836C44" w:rsidP="00836C44">
      <w:pPr>
        <w:jc w:val="both"/>
      </w:pPr>
    </w:p>
    <w:p w14:paraId="6E18B08B" w14:textId="77777777" w:rsidR="00C464D9" w:rsidRPr="00C464D9" w:rsidRDefault="00C464D9" w:rsidP="00C464D9">
      <w:pPr>
        <w:jc w:val="both"/>
      </w:pPr>
      <w:bookmarkStart w:id="17" w:name="TR_NXT_143"/>
      <w:bookmarkEnd w:id="17"/>
      <w:r>
        <w:t xml:space="preserve">In linea di principio, per i viaggi di lavoro vanno utilizzati i mezzi di trasporto pubblici. </w:t>
      </w:r>
    </w:p>
    <w:p w14:paraId="76B9AA32" w14:textId="59C6E5CA" w:rsidR="008C3CDB" w:rsidRDefault="00FE3D9F" w:rsidP="00A510CE">
      <w:pPr>
        <w:jc w:val="both"/>
      </w:pPr>
      <w:bookmarkStart w:id="18" w:name="TR_NXT_145"/>
      <w:bookmarkEnd w:id="18"/>
      <w:r>
        <w:t xml:space="preserve">Per i viaggi di lavoro in Svizzera tutti i membri del personale hanno diritto a sedere in 1ª classe. Se necessario si fornisce loro un abbonamento metà-prezzo </w:t>
      </w:r>
      <w:r>
        <w:rPr>
          <w:i/>
        </w:rPr>
        <w:t>(nota: gli abbonamenti metà-prezzo non vanno indicati nel certificato di salario).</w:t>
      </w:r>
    </w:p>
    <w:p w14:paraId="3FD2457C" w14:textId="30E8CC43" w:rsidR="00836C44" w:rsidRPr="001605B4" w:rsidRDefault="00FE3D9F" w:rsidP="00A510CE">
      <w:pPr>
        <w:jc w:val="both"/>
      </w:pPr>
      <w:bookmarkStart w:id="19" w:name="TR_NXT_154"/>
      <w:bookmarkEnd w:id="19"/>
      <w:r>
        <w:lastRenderedPageBreak/>
        <w:t xml:space="preserve">All’occorrenza, è possibile rilasciare un abbonamento generale ai membri del personale che viaggiano spesso in treno per motivi di lavoro </w:t>
      </w:r>
      <w:r>
        <w:rPr>
          <w:i/>
        </w:rPr>
        <w:t>(nota: se un abbonamento generale dovesse servire anche per lavoro, non si procederà ad alcun addebito sul certificato di salario, tuttavia si dovrà barrare il campo «F – Trasporto gratuito dal domicilio al luogo di lavoro»).</w:t>
      </w:r>
    </w:p>
    <w:p w14:paraId="00C0874F" w14:textId="77777777" w:rsidR="00836C44" w:rsidRPr="001605B4" w:rsidRDefault="00836C44" w:rsidP="00836C44">
      <w:pPr>
        <w:pStyle w:val="berschrift1"/>
        <w:keepLines/>
        <w:numPr>
          <w:ilvl w:val="0"/>
          <w:numId w:val="4"/>
        </w:numPr>
        <w:spacing w:before="480" w:after="0"/>
        <w:rPr>
          <w:rFonts w:cs="Arial"/>
        </w:rPr>
      </w:pPr>
      <w:bookmarkStart w:id="20" w:name="TR_NXT_161"/>
      <w:bookmarkEnd w:id="20"/>
      <w:r>
        <w:rPr>
          <w:rFonts w:cs="Arial"/>
        </w:rPr>
        <w:t>Viaggi di lavoro all’estero</w:t>
      </w:r>
    </w:p>
    <w:p w14:paraId="02F61709" w14:textId="0299AA35" w:rsidR="00DA4A4F" w:rsidRPr="00DA4A4F" w:rsidRDefault="00DA4A4F" w:rsidP="00DA4A4F">
      <w:pPr>
        <w:pStyle w:val="einzug"/>
        <w:spacing w:after="120"/>
        <w:rPr>
          <w:rFonts w:ascii="Arial" w:hAnsi="Arial" w:cs="Arial"/>
          <w:sz w:val="22"/>
          <w:szCs w:val="22"/>
          <w:lang w:eastAsia="de-CH"/>
        </w:rPr>
      </w:pPr>
      <w:bookmarkStart w:id="21" w:name="TR_NXT_165"/>
      <w:bookmarkEnd w:id="21"/>
      <w:r>
        <w:rPr>
          <w:rFonts w:ascii="Arial" w:hAnsi="Arial" w:cs="Arial"/>
          <w:sz w:val="22"/>
        </w:rPr>
        <w:t>Se i viaggi di lavoro all’estero in partenza dalle principali stazioni ferroviarie in Svizzera prevedono durate inferiori a sei ore fino alla stazione centrale della destinazione finale, si dovrà usare il treno. Generalmente è possibile far inquadrare come tempo di lavoro la durata del viaggio trascorsa sui mezzi di trasporto pubblici durante l’orario di lavoro.</w:t>
      </w:r>
    </w:p>
    <w:p w14:paraId="35DE5ED4" w14:textId="3D0F8048" w:rsidR="00DA4A4F" w:rsidRPr="00DA4A4F" w:rsidRDefault="00DA4A4F" w:rsidP="00DA4A4F">
      <w:pPr>
        <w:pStyle w:val="einzug"/>
        <w:spacing w:after="120"/>
        <w:rPr>
          <w:rFonts w:ascii="Arial" w:hAnsi="Arial" w:cs="Arial"/>
          <w:sz w:val="22"/>
          <w:szCs w:val="22"/>
          <w:lang w:eastAsia="de-CH"/>
        </w:rPr>
      </w:pPr>
      <w:bookmarkStart w:id="22" w:name="TR_NXT_175"/>
      <w:bookmarkEnd w:id="22"/>
      <w:r>
        <w:rPr>
          <w:rFonts w:ascii="Arial" w:hAnsi="Arial" w:cs="Arial"/>
          <w:sz w:val="22"/>
        </w:rPr>
        <w:t>Qualora la durata del viaggio in treno con partenza dalle principali stazioni ferroviarie in Svizzera fino alla stazione centrale della destinazione finale sia superiore a sei ore, si organizzeranno viaggi aerei. In casi eccezionali motivati, è possibile autorizzare un viaggio in aereo anziché un viaggio in treno di durata inferiore a sei ore.</w:t>
      </w:r>
    </w:p>
    <w:p w14:paraId="2EE8CB74" w14:textId="77777777" w:rsidR="00DA4A4F" w:rsidRDefault="00DA4A4F" w:rsidP="00DA4A4F">
      <w:pPr>
        <w:pStyle w:val="einzug"/>
        <w:spacing w:before="0" w:after="120" w:line="240" w:lineRule="auto"/>
        <w:rPr>
          <w:rFonts w:ascii="Arial" w:hAnsi="Arial" w:cs="Arial"/>
          <w:sz w:val="20"/>
        </w:rPr>
      </w:pPr>
    </w:p>
    <w:p w14:paraId="107522A6" w14:textId="43F1F0AF" w:rsidR="00836C44" w:rsidRPr="001605B4" w:rsidRDefault="00836C44" w:rsidP="00DA4A4F">
      <w:pPr>
        <w:pStyle w:val="berschrift1"/>
        <w:keepLines/>
        <w:numPr>
          <w:ilvl w:val="0"/>
          <w:numId w:val="4"/>
        </w:numPr>
        <w:spacing w:before="480" w:after="0"/>
        <w:rPr>
          <w:rFonts w:cs="Arial"/>
        </w:rPr>
      </w:pPr>
      <w:bookmarkStart w:id="23" w:name="TR_NXT_184"/>
      <w:bookmarkEnd w:id="23"/>
      <w:r>
        <w:rPr>
          <w:rFonts w:cs="Arial"/>
        </w:rPr>
        <w:t>Processi</w:t>
      </w:r>
    </w:p>
    <w:p w14:paraId="78BF01A2" w14:textId="77777777" w:rsidR="00836C44" w:rsidRPr="001605B4" w:rsidRDefault="00836C44" w:rsidP="00836C44">
      <w:pPr>
        <w:pStyle w:val="berschrift2"/>
        <w:keepLines/>
        <w:numPr>
          <w:ilvl w:val="1"/>
          <w:numId w:val="4"/>
        </w:numPr>
        <w:spacing w:before="200" w:after="0"/>
        <w:rPr>
          <w:rFonts w:cs="Arial"/>
          <w:color w:val="365F91" w:themeColor="accent1" w:themeShade="BF"/>
        </w:rPr>
      </w:pPr>
      <w:bookmarkStart w:id="24" w:name="TR_NXT_186"/>
      <w:bookmarkEnd w:id="24"/>
      <w:r>
        <w:rPr>
          <w:rFonts w:cs="Arial"/>
          <w:color w:val="365F91" w:themeColor="accent1" w:themeShade="BF"/>
        </w:rPr>
        <w:t>Principio</w:t>
      </w:r>
    </w:p>
    <w:p w14:paraId="52AEA10E" w14:textId="77777777" w:rsidR="00836C44" w:rsidRPr="001605B4" w:rsidRDefault="00836C44" w:rsidP="00836C44">
      <w:pPr>
        <w:jc w:val="both"/>
        <w:rPr>
          <w:color w:val="000000" w:themeColor="text1"/>
        </w:rPr>
      </w:pPr>
    </w:p>
    <w:p w14:paraId="10658402" w14:textId="152A1B76" w:rsidR="00836C44" w:rsidRPr="001605B4" w:rsidRDefault="00836C44" w:rsidP="00836C44">
      <w:pPr>
        <w:jc w:val="both"/>
        <w:rPr>
          <w:color w:val="000000" w:themeColor="text1"/>
        </w:rPr>
      </w:pPr>
      <w:bookmarkStart w:id="25" w:name="TR_NXT_192"/>
      <w:bookmarkEnd w:id="25"/>
      <w:r>
        <w:rPr>
          <w:color w:val="000000" w:themeColor="text1"/>
        </w:rPr>
        <w:t xml:space="preserve">I viaggi aerei e in treno così come i pernottamenti in hotel e le prenotazioni di auto a noleggio in occasione di viaggi di lavoro – eccetto i viaggi dell’ultimo minuto e urgenti – vanno prenotati esclusivamente tramite il </w:t>
      </w:r>
      <w:r>
        <w:rPr>
          <w:i/>
          <w:color w:val="000000" w:themeColor="text1"/>
        </w:rPr>
        <w:t>reparto XXX</w:t>
      </w:r>
      <w:r>
        <w:rPr>
          <w:color w:val="000000" w:themeColor="text1"/>
        </w:rPr>
        <w:t>. In tal modo si assicura la prenotazione della prestazione migliore in termini di economicità e sostenibilità, nel rispetto delle condizioni quadro e delle norme di volta in volta stabilite dal committente.</w:t>
      </w:r>
    </w:p>
    <w:p w14:paraId="2186061D" w14:textId="77777777" w:rsidR="00836C44" w:rsidRPr="001605B4" w:rsidRDefault="00836C44" w:rsidP="00836C44">
      <w:pPr>
        <w:jc w:val="both"/>
        <w:rPr>
          <w:color w:val="000000" w:themeColor="text1"/>
        </w:rPr>
      </w:pPr>
    </w:p>
    <w:p w14:paraId="2DA541A8" w14:textId="77777777" w:rsidR="00836C44" w:rsidRPr="001605B4" w:rsidRDefault="00836C44" w:rsidP="00836C44">
      <w:pPr>
        <w:pStyle w:val="berschrift2"/>
        <w:keepLines/>
        <w:numPr>
          <w:ilvl w:val="1"/>
          <w:numId w:val="4"/>
        </w:numPr>
        <w:spacing w:before="200" w:after="0"/>
        <w:rPr>
          <w:rFonts w:cs="Arial"/>
          <w:color w:val="365F91" w:themeColor="accent1" w:themeShade="BF"/>
        </w:rPr>
      </w:pPr>
      <w:bookmarkStart w:id="26" w:name="TR_NXT_201"/>
      <w:bookmarkEnd w:id="26"/>
      <w:r>
        <w:rPr>
          <w:rFonts w:cs="Arial"/>
          <w:color w:val="365F91" w:themeColor="accent1" w:themeShade="BF"/>
        </w:rPr>
        <w:t>Gestione dell’ordine</w:t>
      </w:r>
    </w:p>
    <w:p w14:paraId="37D48992" w14:textId="77777777" w:rsidR="00836C44" w:rsidRPr="001605B4" w:rsidRDefault="00836C44" w:rsidP="00836C44">
      <w:pPr>
        <w:jc w:val="both"/>
        <w:rPr>
          <w:color w:val="000000" w:themeColor="text1"/>
        </w:rPr>
      </w:pPr>
    </w:p>
    <w:p w14:paraId="308580FD" w14:textId="2DBD8C61" w:rsidR="00885BC1" w:rsidRPr="00885BC1" w:rsidRDefault="00836C44" w:rsidP="00836C44">
      <w:pPr>
        <w:jc w:val="both"/>
        <w:rPr>
          <w:color w:val="000000" w:themeColor="text1"/>
        </w:rPr>
      </w:pPr>
      <w:bookmarkStart w:id="27" w:name="TR_NXT_204"/>
      <w:bookmarkEnd w:id="27"/>
      <w:r>
        <w:rPr>
          <w:color w:val="000000" w:themeColor="text1"/>
        </w:rPr>
        <w:t xml:space="preserve">Gli ordini vanno effettuati online dal personale tramite </w:t>
      </w:r>
      <w:hyperlink r:id="rId10" w:history="1">
        <w:r>
          <w:rPr>
            <w:rStyle w:val="Hyperlink"/>
          </w:rPr>
          <w:t>Businesstravel FFS</w:t>
        </w:r>
      </w:hyperlink>
      <w:r>
        <w:rPr>
          <w:color w:val="000000" w:themeColor="text1"/>
        </w:rPr>
        <w:t xml:space="preserve"> oppure con l’app Mobile FFS. A tale scopo è necessario disporre di un login individuale di SwissPass </w:t>
      </w:r>
      <w:r>
        <w:rPr>
          <w:rFonts w:ascii="Wingdings" w:eastAsia="Wingdings" w:hAnsi="Wingdings" w:cs="Wingdings"/>
          <w:color w:val="000000" w:themeColor="text1"/>
        </w:rPr>
        <w:t>à</w:t>
      </w:r>
      <w:r>
        <w:rPr>
          <w:color w:val="000000" w:themeColor="text1"/>
        </w:rPr>
        <w:t xml:space="preserve"> </w:t>
      </w:r>
      <w:hyperlink r:id="rId11">
        <w:r>
          <w:rPr>
            <w:rStyle w:val="Hyperlink"/>
          </w:rPr>
          <w:t>www.swisspass.ch</w:t>
        </w:r>
      </w:hyperlink>
      <w:r>
        <w:rPr>
          <w:color w:val="000000" w:themeColor="text1"/>
        </w:rPr>
        <w:t xml:space="preserve"> e del numero di contratto del nostro account utente di Businesstravel FFS. Richiedere il numero di contratto al reparto </w:t>
      </w:r>
      <w:r>
        <w:rPr>
          <w:i/>
          <w:color w:val="000000" w:themeColor="text1"/>
        </w:rPr>
        <w:t xml:space="preserve">XXX. </w:t>
      </w:r>
      <w:r>
        <w:rPr>
          <w:color w:val="000000" w:themeColor="text1"/>
        </w:rPr>
        <w:t>Per acquistare biglietti aziendali tramite la propria app Mobile, occorrerà innanzitutto effettuare il logout dall’app Mobile FFS e poi accedere con il proprio login SwissPass.</w:t>
      </w:r>
    </w:p>
    <w:p w14:paraId="6FAE8113" w14:textId="57B932FA" w:rsidR="00836C44" w:rsidRPr="001605B4" w:rsidRDefault="00885BC1" w:rsidP="00836C44">
      <w:pPr>
        <w:jc w:val="both"/>
        <w:rPr>
          <w:color w:val="000000" w:themeColor="text1"/>
        </w:rPr>
      </w:pPr>
      <w:bookmarkStart w:id="28" w:name="TR_NXT_227"/>
      <w:bookmarkEnd w:id="28"/>
      <w:r>
        <w:rPr>
          <w:color w:val="000000" w:themeColor="text1"/>
        </w:rPr>
        <w:t>È d’obbligo evitare di acquistare privatamente il biglietto presentando successivamente il conteggio delle spese, altrimenti i dati non compariranno nel reporting sulle emissioni di CO</w:t>
      </w:r>
      <w:r>
        <w:rPr>
          <w:color w:val="000000" w:themeColor="text1"/>
          <w:vertAlign w:val="subscript"/>
        </w:rPr>
        <w:t>2</w:t>
      </w:r>
      <w:r>
        <w:rPr>
          <w:color w:val="000000" w:themeColor="text1"/>
        </w:rPr>
        <w:t xml:space="preserve"> / nel rapporto sulle emissioni, per cui l’azienda non potrà avvalersi di un eventuale sconto aziendale.</w:t>
      </w:r>
    </w:p>
    <w:p w14:paraId="4E788613" w14:textId="77777777" w:rsidR="00836C44" w:rsidRPr="001605B4" w:rsidRDefault="00836C44" w:rsidP="00836C44">
      <w:pPr>
        <w:jc w:val="both"/>
        <w:rPr>
          <w:color w:val="000000" w:themeColor="text1"/>
        </w:rPr>
      </w:pPr>
    </w:p>
    <w:p w14:paraId="00BC634B" w14:textId="77777777" w:rsidR="00836C44" w:rsidRPr="001605B4" w:rsidRDefault="00836C44" w:rsidP="00836C44">
      <w:pPr>
        <w:jc w:val="both"/>
        <w:rPr>
          <w:color w:val="000000" w:themeColor="text1"/>
        </w:rPr>
      </w:pPr>
      <w:bookmarkStart w:id="29" w:name="TR_NXT_234"/>
      <w:bookmarkEnd w:id="29"/>
      <w:r>
        <w:rPr>
          <w:color w:val="000000" w:themeColor="text1"/>
        </w:rPr>
        <w:t xml:space="preserve">Per procedere con le prenotazioni, </w:t>
      </w:r>
      <w:r>
        <w:rPr>
          <w:i/>
          <w:color w:val="000000" w:themeColor="text1"/>
        </w:rPr>
        <w:t>al reparto Prenotazioni</w:t>
      </w:r>
      <w:r>
        <w:rPr>
          <w:color w:val="000000" w:themeColor="text1"/>
        </w:rPr>
        <w:t xml:space="preserve"> servono i dati completi relativi al viaggio, le generalità dei viaggiatori nonché la modalità di pagamento richiesta per l’addebito delle spese di viaggio. </w:t>
      </w:r>
    </w:p>
    <w:p w14:paraId="5639E64C" w14:textId="7B96871E" w:rsidR="00836C44" w:rsidRPr="001605B4" w:rsidRDefault="00836C44" w:rsidP="00836C44">
      <w:pPr>
        <w:jc w:val="both"/>
        <w:rPr>
          <w:color w:val="000000" w:themeColor="text1"/>
        </w:rPr>
      </w:pPr>
      <w:bookmarkStart w:id="30" w:name="TR_NXT_240"/>
      <w:bookmarkEnd w:id="30"/>
      <w:r>
        <w:rPr>
          <w:color w:val="000000" w:themeColor="text1"/>
        </w:rPr>
        <w:t xml:space="preserve">Il pagamento si effettua mediante </w:t>
      </w:r>
      <w:r>
        <w:rPr>
          <w:i/>
          <w:color w:val="000000" w:themeColor="text1"/>
        </w:rPr>
        <w:t>carta di credito aziendale</w:t>
      </w:r>
      <w:r>
        <w:rPr>
          <w:color w:val="000000" w:themeColor="text1"/>
        </w:rPr>
        <w:t>, centro di costo oppure numero d’ordine. A seconda della variante di prenotazione (ad es. sistema di prenotazione dell’hotel, BTM, Businesstravel FFS), le prestazioni si possono pagare direttamente al fornitore di servizi interessato con relativo rimborso sulla base del conteggio delle spese.</w:t>
      </w:r>
    </w:p>
    <w:p w14:paraId="0644D857" w14:textId="77777777" w:rsidR="00836C44" w:rsidRPr="001605B4" w:rsidRDefault="00836C44" w:rsidP="00836C44">
      <w:pPr>
        <w:jc w:val="both"/>
        <w:rPr>
          <w:color w:val="000000" w:themeColor="text1"/>
        </w:rPr>
      </w:pPr>
    </w:p>
    <w:p w14:paraId="1A2C41AC" w14:textId="717EB4A4" w:rsidR="00C539DB" w:rsidRDefault="00836C44" w:rsidP="00836C44">
      <w:pPr>
        <w:jc w:val="both"/>
        <w:rPr>
          <w:color w:val="000000" w:themeColor="text1"/>
        </w:rPr>
      </w:pPr>
      <w:bookmarkStart w:id="31" w:name="TR_NXT_248"/>
      <w:bookmarkEnd w:id="31"/>
      <w:r>
        <w:rPr>
          <w:color w:val="000000" w:themeColor="text1"/>
        </w:rPr>
        <w:t>L’</w:t>
      </w:r>
      <w:r>
        <w:rPr>
          <w:i/>
          <w:color w:val="000000" w:themeColor="text1"/>
        </w:rPr>
        <w:t>ufficio di prenotazione è contattabile dal XXX al XXX</w:t>
      </w:r>
      <w:r>
        <w:rPr>
          <w:color w:val="000000" w:themeColor="text1"/>
        </w:rPr>
        <w:t>.</w:t>
      </w:r>
    </w:p>
    <w:p w14:paraId="3DE2F73C" w14:textId="3037CF09" w:rsidR="00C539DB" w:rsidRDefault="00C539DB">
      <w:pPr>
        <w:spacing w:after="200" w:line="276" w:lineRule="auto"/>
        <w:rPr>
          <w:color w:val="000000" w:themeColor="text1"/>
        </w:rPr>
      </w:pPr>
    </w:p>
    <w:p w14:paraId="679B38FE" w14:textId="77777777" w:rsidR="00836C44" w:rsidRPr="001605B4" w:rsidRDefault="00836C44" w:rsidP="00836C44">
      <w:pPr>
        <w:pStyle w:val="berschrift1"/>
        <w:keepLines/>
        <w:numPr>
          <w:ilvl w:val="0"/>
          <w:numId w:val="4"/>
        </w:numPr>
        <w:spacing w:before="480" w:after="0"/>
        <w:rPr>
          <w:rFonts w:cs="Arial"/>
        </w:rPr>
      </w:pPr>
      <w:bookmarkStart w:id="32" w:name="TR_NXT_254"/>
      <w:bookmarkEnd w:id="32"/>
      <w:r>
        <w:rPr>
          <w:rFonts w:cs="Arial"/>
        </w:rPr>
        <w:lastRenderedPageBreak/>
        <w:t>Controlling e reporting</w:t>
      </w:r>
    </w:p>
    <w:p w14:paraId="48E64F13" w14:textId="77777777" w:rsidR="00836C44" w:rsidRPr="001605B4" w:rsidRDefault="00836C44" w:rsidP="00836C44">
      <w:pPr>
        <w:jc w:val="both"/>
        <w:rPr>
          <w:color w:val="000000" w:themeColor="text1"/>
        </w:rPr>
      </w:pPr>
    </w:p>
    <w:p w14:paraId="46746DD5" w14:textId="77777777" w:rsidR="00836C44" w:rsidRPr="001605B4" w:rsidRDefault="00836C44" w:rsidP="00836C44">
      <w:pPr>
        <w:jc w:val="both"/>
        <w:rPr>
          <w:color w:val="000000" w:themeColor="text1"/>
        </w:rPr>
      </w:pPr>
      <w:bookmarkStart w:id="33" w:name="TR_NXT_257"/>
      <w:bookmarkEnd w:id="33"/>
      <w:r>
        <w:rPr>
          <w:color w:val="000000" w:themeColor="text1"/>
        </w:rPr>
        <w:t>Occorre assolutamente attenersi ai processi della presente direttiva.</w:t>
      </w:r>
    </w:p>
    <w:p w14:paraId="7BA66DBA" w14:textId="77777777" w:rsidR="00836C44" w:rsidRPr="001605B4" w:rsidRDefault="00836C44" w:rsidP="00836C44">
      <w:pPr>
        <w:jc w:val="both"/>
        <w:rPr>
          <w:color w:val="000000" w:themeColor="text1"/>
        </w:rPr>
      </w:pPr>
    </w:p>
    <w:p w14:paraId="3ACC613F" w14:textId="77777777" w:rsidR="00836C44" w:rsidRPr="001605B4" w:rsidRDefault="00836C44" w:rsidP="00836C44">
      <w:pPr>
        <w:jc w:val="both"/>
        <w:rPr>
          <w:color w:val="000000" w:themeColor="text1"/>
        </w:rPr>
      </w:pPr>
      <w:bookmarkStart w:id="34" w:name="TR_NXT_260"/>
      <w:bookmarkEnd w:id="34"/>
      <w:r>
        <w:rPr>
          <w:color w:val="000000" w:themeColor="text1"/>
        </w:rPr>
        <w:t>In particolare non è ammessa la prenotazione diretta presso i fornitori di prestazioni (ad es. via Internet). I comportamenti contrari alle regole vanno segnalati ai rispettivi superiori.</w:t>
      </w:r>
    </w:p>
    <w:p w14:paraId="4DBB7E49" w14:textId="77777777" w:rsidR="00836C44" w:rsidRPr="001605B4" w:rsidRDefault="00836C44" w:rsidP="00836C44">
      <w:pPr>
        <w:jc w:val="both"/>
        <w:rPr>
          <w:color w:val="000000" w:themeColor="text1"/>
        </w:rPr>
      </w:pPr>
    </w:p>
    <w:p w14:paraId="2CE88C8A" w14:textId="77777777" w:rsidR="00836C44" w:rsidRPr="001605B4" w:rsidRDefault="00836C44" w:rsidP="00836C44">
      <w:pPr>
        <w:jc w:val="both"/>
        <w:rPr>
          <w:color w:val="000000" w:themeColor="text1"/>
        </w:rPr>
      </w:pPr>
      <w:bookmarkStart w:id="35" w:name="TR_NXT_265"/>
      <w:bookmarkEnd w:id="35"/>
      <w:r>
        <w:rPr>
          <w:i/>
          <w:color w:val="000000" w:themeColor="text1"/>
        </w:rPr>
        <w:t>Il reparto Acquisti</w:t>
      </w:r>
      <w:r>
        <w:rPr>
          <w:color w:val="000000" w:themeColor="text1"/>
        </w:rPr>
        <w:t xml:space="preserve"> redigerà un report semestrale riguardante il rispetto dei processi (verifica dei fornitori), che verrà messo a disposizione di </w:t>
      </w:r>
      <w:r>
        <w:rPr>
          <w:i/>
          <w:color w:val="000000" w:themeColor="text1"/>
        </w:rPr>
        <w:t>settori aziendali / reparti</w:t>
      </w:r>
      <w:r>
        <w:rPr>
          <w:color w:val="000000" w:themeColor="text1"/>
        </w:rPr>
        <w:t>.</w:t>
      </w:r>
    </w:p>
    <w:p w14:paraId="706451B0" w14:textId="77777777" w:rsidR="00836C44" w:rsidRPr="001605B4" w:rsidRDefault="00836C44" w:rsidP="00836C44">
      <w:pPr>
        <w:pStyle w:val="berschrift1"/>
        <w:keepLines/>
        <w:numPr>
          <w:ilvl w:val="0"/>
          <w:numId w:val="4"/>
        </w:numPr>
        <w:spacing w:before="480" w:after="0"/>
        <w:rPr>
          <w:rFonts w:cs="Arial"/>
        </w:rPr>
      </w:pPr>
      <w:bookmarkStart w:id="36" w:name="TR_NXT_270"/>
      <w:bookmarkEnd w:id="36"/>
      <w:r>
        <w:rPr>
          <w:rFonts w:cs="Arial"/>
        </w:rPr>
        <w:t>Cambiamenti della prenotazione e annullamenti</w:t>
      </w:r>
    </w:p>
    <w:p w14:paraId="539EB8AF" w14:textId="77777777" w:rsidR="00836C44" w:rsidRPr="001605B4" w:rsidRDefault="00836C44" w:rsidP="00836C44">
      <w:pPr>
        <w:rPr>
          <w:i/>
        </w:rPr>
      </w:pPr>
    </w:p>
    <w:p w14:paraId="0B1FF336" w14:textId="554D7047" w:rsidR="00836C44" w:rsidRPr="001605B4" w:rsidRDefault="00836C44" w:rsidP="00836C44">
      <w:pPr>
        <w:rPr>
          <w:i/>
        </w:rPr>
      </w:pPr>
      <w:bookmarkStart w:id="37" w:name="TR_NXT_275"/>
      <w:bookmarkEnd w:id="37"/>
      <w:r>
        <w:rPr>
          <w:i/>
        </w:rPr>
        <w:t xml:space="preserve">In caso di modifiche/annullamenti/cambiamenti della prenotazione occorre rivolgersi sempre all’ufficio di prenotazione (scrivendo all’indirizzo e-mail oppure chiamando il numero di tel. xxx xxx xxx), </w:t>
      </w:r>
      <w:r>
        <w:t>che si occuperà di gestire ogni necessaria operazione. Se la prenotazione è stata effettuata autonomamente, contattare direttamente l’operatore di viaggi.</w:t>
      </w:r>
    </w:p>
    <w:p w14:paraId="63C205BA" w14:textId="77777777" w:rsidR="00836C44" w:rsidRPr="001605B4" w:rsidRDefault="00836C44" w:rsidP="00836C44">
      <w:pPr>
        <w:rPr>
          <w:i/>
        </w:rPr>
      </w:pPr>
    </w:p>
    <w:p w14:paraId="1549FF77" w14:textId="0AD4809E" w:rsidR="00836C44" w:rsidRDefault="00836C44" w:rsidP="6AAB2C27">
      <w:pPr>
        <w:rPr>
          <w:i/>
          <w:iCs/>
        </w:rPr>
      </w:pPr>
      <w:bookmarkStart w:id="38" w:name="TR_NXT_291"/>
      <w:bookmarkEnd w:id="38"/>
      <w:r>
        <w:rPr>
          <w:i/>
        </w:rPr>
        <w:t>Orari di apertura: XXX</w:t>
      </w:r>
    </w:p>
    <w:p w14:paraId="551639C2" w14:textId="77777777" w:rsidR="00836C44" w:rsidRPr="001605B4" w:rsidRDefault="00836C44" w:rsidP="00836C44">
      <w:pPr>
        <w:pStyle w:val="Listenabsatz"/>
        <w:rPr>
          <w:i/>
        </w:rPr>
      </w:pPr>
    </w:p>
    <w:p w14:paraId="50B2A49D" w14:textId="77777777" w:rsidR="00836C44" w:rsidRPr="001605B4" w:rsidRDefault="004D0475" w:rsidP="00836C44">
      <w:pPr>
        <w:rPr>
          <w:i/>
        </w:rPr>
      </w:pPr>
      <w:bookmarkStart w:id="39" w:name="TR_NXT_295"/>
      <w:bookmarkEnd w:id="39"/>
      <w:r>
        <w:rPr>
          <w:i/>
        </w:rPr>
        <w:t>Se, poco prima del viaggio, fosse necessario apportare modifiche al di fuori degli orari di apertura o se ci si trovasse già in viaggio:</w:t>
      </w:r>
    </w:p>
    <w:p w14:paraId="7061EC68" w14:textId="77777777" w:rsidR="00836C44" w:rsidRPr="001605B4" w:rsidRDefault="00836C44" w:rsidP="00836C44">
      <w:pPr>
        <w:pStyle w:val="Listenabsatz"/>
        <w:ind w:left="1080"/>
        <w:rPr>
          <w:i/>
        </w:rPr>
      </w:pPr>
    </w:p>
    <w:p w14:paraId="77B735A8" w14:textId="77777777" w:rsidR="00836C44" w:rsidRPr="001605B4" w:rsidRDefault="00836C44" w:rsidP="00836C44">
      <w:pPr>
        <w:pStyle w:val="Listenabsatz"/>
        <w:numPr>
          <w:ilvl w:val="0"/>
          <w:numId w:val="8"/>
        </w:numPr>
        <w:rPr>
          <w:i/>
        </w:rPr>
      </w:pPr>
      <w:r>
        <w:rPr>
          <w:i/>
        </w:rPr>
        <w:t>contattare direttamente la relativa impresa ferroviaria o compagnia aerea, l’hotel che ha ricevuto la prenotazione e/o l’agenzia di autonoleggio; e,</w:t>
      </w:r>
    </w:p>
    <w:p w14:paraId="4A92732E" w14:textId="77777777" w:rsidR="00836C44" w:rsidRPr="001605B4" w:rsidRDefault="00836C44" w:rsidP="00836C44">
      <w:pPr>
        <w:pStyle w:val="Listenabsatz"/>
        <w:ind w:left="1800"/>
        <w:rPr>
          <w:i/>
        </w:rPr>
      </w:pPr>
    </w:p>
    <w:p w14:paraId="6F597D01" w14:textId="77777777" w:rsidR="00836C44" w:rsidRPr="001605B4" w:rsidRDefault="00836C44" w:rsidP="59668750">
      <w:pPr>
        <w:pStyle w:val="Listenabsatz"/>
        <w:numPr>
          <w:ilvl w:val="0"/>
          <w:numId w:val="8"/>
        </w:numPr>
        <w:rPr>
          <w:i/>
          <w:iCs/>
          <w:u w:val="single"/>
        </w:rPr>
      </w:pPr>
      <w:r>
        <w:rPr>
          <w:i/>
          <w:u w:val="single"/>
        </w:rPr>
        <w:t>cosa più importante</w:t>
      </w:r>
      <w:r>
        <w:t xml:space="preserve">, </w:t>
      </w:r>
      <w:r>
        <w:rPr>
          <w:i/>
        </w:rPr>
        <w:t>comunicare qualsiasi modifica al nostro reparto Prenotazioni.</w:t>
      </w:r>
    </w:p>
    <w:p w14:paraId="571D92A3" w14:textId="77777777" w:rsidR="00836C44" w:rsidRPr="001605B4" w:rsidRDefault="00836C44" w:rsidP="00836C44">
      <w:pPr>
        <w:pStyle w:val="berschrift1"/>
        <w:keepLines/>
        <w:numPr>
          <w:ilvl w:val="0"/>
          <w:numId w:val="4"/>
        </w:numPr>
        <w:spacing w:before="480" w:after="0"/>
        <w:rPr>
          <w:rFonts w:eastAsia="Times New Roman" w:cs="Arial"/>
        </w:rPr>
      </w:pPr>
      <w:bookmarkStart w:id="40" w:name="TR_NXT_321"/>
      <w:bookmarkEnd w:id="40"/>
      <w:r>
        <w:rPr>
          <w:rFonts w:eastAsia="Times New Roman" w:cs="Arial"/>
        </w:rPr>
        <w:t>Spese</w:t>
      </w:r>
    </w:p>
    <w:p w14:paraId="248F5A0C" w14:textId="77777777" w:rsidR="00836C44" w:rsidRPr="001605B4" w:rsidRDefault="00836C44" w:rsidP="00836C44">
      <w:pPr>
        <w:pStyle w:val="berschrift2"/>
        <w:keepLines/>
        <w:numPr>
          <w:ilvl w:val="1"/>
          <w:numId w:val="4"/>
        </w:numPr>
        <w:spacing w:before="200" w:after="0"/>
        <w:rPr>
          <w:rFonts w:cs="Arial"/>
          <w:color w:val="365F91" w:themeColor="accent1" w:themeShade="BF"/>
        </w:rPr>
      </w:pPr>
      <w:bookmarkStart w:id="41" w:name="TR_NXT_324"/>
      <w:bookmarkEnd w:id="41"/>
      <w:r>
        <w:rPr>
          <w:rFonts w:cs="Arial"/>
          <w:color w:val="365F91" w:themeColor="accent1" w:themeShade="BF"/>
        </w:rPr>
        <w:t>Definizione del concetto di spese</w:t>
      </w:r>
    </w:p>
    <w:p w14:paraId="2A7E483E" w14:textId="77777777" w:rsidR="00836C44" w:rsidRPr="001605B4" w:rsidRDefault="00836C44" w:rsidP="00836C44">
      <w:pPr>
        <w:rPr>
          <w:i/>
        </w:rPr>
      </w:pPr>
    </w:p>
    <w:p w14:paraId="49A629BF" w14:textId="0EB36852" w:rsidR="00836C44" w:rsidRPr="001605B4" w:rsidRDefault="00836C44" w:rsidP="00836C44">
      <w:pPr>
        <w:rPr>
          <w:i/>
        </w:rPr>
      </w:pPr>
      <w:bookmarkStart w:id="42" w:name="TR_NXT_327"/>
      <w:bookmarkEnd w:id="42"/>
      <w:r>
        <w:rPr>
          <w:i/>
        </w:rPr>
        <w:t xml:space="preserve">Si considerano spese ai sensi del presente regolamento le spese sostenute dal personale direttamente durante l’esercizio della propria attività professionale nell’interesse del datore di lavoro. Ogni membro del personale è tenuto a contenere al massimo le sue spese. L’azienda non si fa carico delle spese ritenute non indispensabili per lo svolgimento del lavoro. </w:t>
      </w:r>
      <w:r>
        <w:rPr>
          <w:i/>
        </w:rPr>
        <w:br/>
      </w:r>
    </w:p>
    <w:p w14:paraId="069C5936" w14:textId="13B5BC5A" w:rsidR="00836C44" w:rsidRPr="001605B4" w:rsidRDefault="00836C44" w:rsidP="00836C44">
      <w:pPr>
        <w:rPr>
          <w:i/>
        </w:rPr>
      </w:pPr>
      <w:bookmarkStart w:id="43" w:name="TR_NXT_333"/>
      <w:bookmarkEnd w:id="43"/>
      <w:r>
        <w:rPr>
          <w:i/>
        </w:rPr>
        <w:t>Sostanzialmente saranno rimborsate le seguenti spese riconducibili all’attività professionale:</w:t>
      </w:r>
      <w:r>
        <w:rPr>
          <w:i/>
        </w:rPr>
        <w:br/>
      </w:r>
    </w:p>
    <w:p w14:paraId="37171168" w14:textId="77777777" w:rsidR="00836C44" w:rsidRPr="001605B4" w:rsidRDefault="00836C44" w:rsidP="00836C44">
      <w:pPr>
        <w:pStyle w:val="Listenabsatz"/>
        <w:numPr>
          <w:ilvl w:val="0"/>
          <w:numId w:val="6"/>
        </w:numPr>
        <w:rPr>
          <w:i/>
        </w:rPr>
      </w:pPr>
      <w:r>
        <w:rPr>
          <w:i/>
        </w:rPr>
        <w:t xml:space="preserve">Spese di viaggio </w:t>
      </w:r>
    </w:p>
    <w:p w14:paraId="0B03A3BE" w14:textId="77777777" w:rsidR="00836C44" w:rsidRPr="001605B4" w:rsidRDefault="00836C44" w:rsidP="00836C44">
      <w:pPr>
        <w:pStyle w:val="Listenabsatz"/>
        <w:numPr>
          <w:ilvl w:val="0"/>
          <w:numId w:val="6"/>
        </w:numPr>
        <w:rPr>
          <w:i/>
        </w:rPr>
      </w:pPr>
      <w:r>
        <w:rPr>
          <w:i/>
        </w:rPr>
        <w:t xml:space="preserve">Spese di vitto e alloggio </w:t>
      </w:r>
    </w:p>
    <w:p w14:paraId="25AD6526" w14:textId="77777777" w:rsidR="00836C44" w:rsidRPr="001605B4" w:rsidRDefault="00836C44" w:rsidP="00836C44">
      <w:pPr>
        <w:pStyle w:val="Listenabsatz"/>
        <w:numPr>
          <w:ilvl w:val="0"/>
          <w:numId w:val="6"/>
        </w:numPr>
        <w:rPr>
          <w:i/>
        </w:rPr>
      </w:pPr>
      <w:r>
        <w:rPr>
          <w:i/>
        </w:rPr>
        <w:t>Altre spese legate all’attività professionale</w:t>
      </w:r>
    </w:p>
    <w:p w14:paraId="080E3455" w14:textId="77777777" w:rsidR="00836C44" w:rsidRPr="001605B4" w:rsidRDefault="00836C44" w:rsidP="00836C44"/>
    <w:p w14:paraId="23FA45F8" w14:textId="52B97A99" w:rsidR="00836C44" w:rsidRPr="001605B4" w:rsidRDefault="00836C44" w:rsidP="00836C44">
      <w:pPr>
        <w:pStyle w:val="berschrift2"/>
        <w:keepLines/>
        <w:numPr>
          <w:ilvl w:val="1"/>
          <w:numId w:val="4"/>
        </w:numPr>
        <w:spacing w:before="200" w:after="0"/>
        <w:rPr>
          <w:rFonts w:cs="Arial"/>
          <w:color w:val="365F91" w:themeColor="accent1" w:themeShade="BF"/>
        </w:rPr>
      </w:pPr>
      <w:bookmarkStart w:id="44" w:name="TR_NXT_342"/>
      <w:bookmarkEnd w:id="44"/>
      <w:r>
        <w:rPr>
          <w:rFonts w:cs="Arial"/>
          <w:color w:val="365F91" w:themeColor="accent1" w:themeShade="BF"/>
        </w:rPr>
        <w:t>Viaggi di servizio con veicolo privato / in taxi</w:t>
      </w:r>
    </w:p>
    <w:p w14:paraId="535B118F" w14:textId="77777777" w:rsidR="00836C44" w:rsidRPr="001605B4" w:rsidRDefault="00836C44" w:rsidP="00836C44">
      <w:pPr>
        <w:rPr>
          <w:b/>
        </w:rPr>
      </w:pPr>
    </w:p>
    <w:p w14:paraId="15AEA3F0" w14:textId="6FBEA1E8" w:rsidR="00C539DB" w:rsidRDefault="00C539DB" w:rsidP="007520B0">
      <w:r>
        <w:t>In linea di principio, si utilizzano i trasporti pubblici. I costi per l’uso di un veicolo privato o di un taxi per un viaggio di lavoro vengono rimborsati solo se il loro utilizzo comporta un notevole risparmio di tempo e/o costi oppure se il ricorso ai mezzi di trasporto pubblici è oggettivamente impraticabile. L’utilizzo del proprio veicolo / del taxi, nonostante la disponibilità di buoni collegamenti con i trasporti pubblici, comporterà il solo rimborso dei costi dei mezzi di trasporto pubblici. L’indennità chilometrica è pari a CHF 0.40.</w:t>
      </w:r>
      <w:r>
        <w:br w:type="page"/>
      </w:r>
    </w:p>
    <w:p w14:paraId="7FE24324" w14:textId="77777777" w:rsidR="00836C44" w:rsidRPr="001605B4" w:rsidRDefault="00836C44" w:rsidP="00836C44">
      <w:pPr>
        <w:pStyle w:val="berschrift2"/>
        <w:keepLines/>
        <w:numPr>
          <w:ilvl w:val="1"/>
          <w:numId w:val="4"/>
        </w:numPr>
        <w:spacing w:before="200" w:after="0"/>
        <w:rPr>
          <w:rFonts w:cs="Arial"/>
          <w:color w:val="365F91" w:themeColor="accent1" w:themeShade="BF"/>
        </w:rPr>
      </w:pPr>
      <w:bookmarkStart w:id="45" w:name="TR_NXT_352"/>
      <w:bookmarkEnd w:id="45"/>
      <w:r>
        <w:rPr>
          <w:rFonts w:cs="Arial"/>
          <w:color w:val="365F91" w:themeColor="accent1" w:themeShade="BF"/>
        </w:rPr>
        <w:lastRenderedPageBreak/>
        <w:t>Spese di vitto e alloggio</w:t>
      </w:r>
    </w:p>
    <w:p w14:paraId="2636B34A" w14:textId="77777777" w:rsidR="00836C44" w:rsidRPr="001605B4" w:rsidRDefault="00836C44" w:rsidP="00836C44">
      <w:pPr>
        <w:pStyle w:val="berschrift2"/>
        <w:rPr>
          <w:rFonts w:cs="Arial"/>
          <w:color w:val="365F91" w:themeColor="accent1" w:themeShade="BF"/>
        </w:rPr>
      </w:pPr>
      <w:bookmarkStart w:id="46" w:name="TR_NXT_354"/>
      <w:bookmarkEnd w:id="46"/>
      <w:r>
        <w:rPr>
          <w:rFonts w:cs="Arial"/>
          <w:b w:val="0"/>
          <w:color w:val="365F91" w:themeColor="accent1" w:themeShade="BF"/>
        </w:rPr>
        <w:t>10.3</w:t>
      </w:r>
      <w:r>
        <w:rPr>
          <w:rStyle w:val="berschrift2Zchn"/>
          <w:rFonts w:cs="Arial"/>
          <w:color w:val="365F91" w:themeColor="accent1" w:themeShade="BF"/>
        </w:rPr>
        <w:t>.1.   Ristorazione fuori sede</w:t>
      </w:r>
    </w:p>
    <w:p w14:paraId="1B88F76D" w14:textId="77777777" w:rsidR="00836C44" w:rsidRPr="001605B4" w:rsidRDefault="00836C44" w:rsidP="00836C44"/>
    <w:p w14:paraId="7088C665" w14:textId="43886A4B" w:rsidR="00836C44" w:rsidRPr="001605B4" w:rsidRDefault="00836C44" w:rsidP="00836C44">
      <w:r>
        <w:t>L’obbligo per un collaboratore o una collaboratrice di intraprendere un viaggio di lavoro oppure di consumare per altri motivi i pasti al di fuori del proprio posto di lavoro o della consueta area d’impiego comporta il diritto al rimborso delle spese effettive per un valore massimo indicativo di</w:t>
      </w:r>
      <w:r>
        <w:br/>
      </w:r>
    </w:p>
    <w:p w14:paraId="4A2FFA91" w14:textId="77777777" w:rsidR="00836C44" w:rsidRPr="001605B4" w:rsidRDefault="00836C44" w:rsidP="00836C44">
      <w:pPr>
        <w:pStyle w:val="Listenabsatz"/>
        <w:numPr>
          <w:ilvl w:val="0"/>
          <w:numId w:val="7"/>
        </w:numPr>
      </w:pPr>
      <w:r>
        <w:t>CHF 30.– per il pranzo,</w:t>
      </w:r>
    </w:p>
    <w:p w14:paraId="2DAC597B" w14:textId="5A5AFE5C" w:rsidR="00836C44" w:rsidRPr="001605B4" w:rsidRDefault="00836C44" w:rsidP="00836C44">
      <w:pPr>
        <w:pStyle w:val="Listenabsatz"/>
        <w:numPr>
          <w:ilvl w:val="0"/>
          <w:numId w:val="7"/>
        </w:numPr>
      </w:pPr>
      <w:r>
        <w:t>CHF 35.– per la cena (in caso di pernottamento o di rientro dopo le ore 20.00).</w:t>
      </w:r>
    </w:p>
    <w:p w14:paraId="47F17E21" w14:textId="77777777" w:rsidR="00836C44" w:rsidRDefault="00836C44" w:rsidP="00836C44"/>
    <w:p w14:paraId="1680858B" w14:textId="42E31049" w:rsidR="00D943B4" w:rsidRDefault="00A510CE" w:rsidP="00836C44">
      <w:r>
        <w:t>Per il personale del servizio esterno, che ha operato prevalentemente fuori sede e ha ricevuto un’indennità per il pranzo, è prevista la relativa nota nel certificato di salario.</w:t>
      </w:r>
    </w:p>
    <w:p w14:paraId="5B8FD8E5" w14:textId="77777777" w:rsidR="00D943B4" w:rsidRDefault="00D943B4" w:rsidP="00836C44"/>
    <w:p w14:paraId="3D76537D" w14:textId="7D3B6BEF" w:rsidR="00836C44" w:rsidRPr="001605B4" w:rsidRDefault="00836C44" w:rsidP="00836C44">
      <w:pPr>
        <w:pStyle w:val="berschrift2"/>
        <w:rPr>
          <w:rFonts w:cs="Arial"/>
          <w:b w:val="0"/>
          <w:color w:val="365F91" w:themeColor="accent1" w:themeShade="BF"/>
        </w:rPr>
      </w:pPr>
      <w:bookmarkStart w:id="47" w:name="TR_NXT_385"/>
      <w:bookmarkEnd w:id="47"/>
      <w:r>
        <w:rPr>
          <w:rFonts w:cs="Arial"/>
          <w:b w:val="0"/>
          <w:color w:val="365F91" w:themeColor="accent1" w:themeShade="BF"/>
        </w:rPr>
        <w:t>10.3.2.   Pasti nell’ambito dell’attività professionale</w:t>
      </w:r>
    </w:p>
    <w:p w14:paraId="7F6DB042" w14:textId="77777777" w:rsidR="00836C44" w:rsidRPr="001605B4" w:rsidRDefault="00836C44" w:rsidP="00836C44"/>
    <w:p w14:paraId="2E0FC99E" w14:textId="77777777" w:rsidR="00836C44" w:rsidRPr="001605B4" w:rsidRDefault="00836C44" w:rsidP="00836C44">
      <w:r>
        <w:t>Nei limiti del possibile, i pasti con partner commerciali o i pranzi di lavoro con membri del personale vengono pagati con la carta di credito aziendale. Altrimenti le spese saranno rimborsate dietro presentazione del giustificativo.</w:t>
      </w:r>
    </w:p>
    <w:p w14:paraId="2EB66CC5" w14:textId="77777777" w:rsidR="00836C44" w:rsidRPr="001605B4" w:rsidRDefault="00836C44" w:rsidP="00836C44"/>
    <w:p w14:paraId="27778827" w14:textId="3EA44EAD" w:rsidR="00836C44" w:rsidRPr="001605B4" w:rsidRDefault="00836C44" w:rsidP="00836C44">
      <w:pPr>
        <w:pStyle w:val="berschrift2"/>
        <w:rPr>
          <w:rFonts w:cs="Arial"/>
          <w:b w:val="0"/>
          <w:color w:val="365F91" w:themeColor="accent1" w:themeShade="BF"/>
        </w:rPr>
      </w:pPr>
      <w:bookmarkStart w:id="48" w:name="TR_NXT_395"/>
      <w:bookmarkEnd w:id="48"/>
      <w:r>
        <w:rPr>
          <w:rFonts w:cs="Arial"/>
          <w:b w:val="0"/>
          <w:color w:val="365F91" w:themeColor="accent1" w:themeShade="BF"/>
        </w:rPr>
        <w:t xml:space="preserve">10.3.3. </w:t>
      </w:r>
      <w:r w:rsidR="00A052A5">
        <w:rPr>
          <w:rFonts w:cs="Arial"/>
          <w:b w:val="0"/>
          <w:color w:val="365F91" w:themeColor="accent1" w:themeShade="BF"/>
        </w:rPr>
        <w:t xml:space="preserve"> </w:t>
      </w:r>
      <w:r>
        <w:rPr>
          <w:rFonts w:cs="Arial"/>
          <w:b w:val="0"/>
          <w:color w:val="365F91" w:themeColor="accent1" w:themeShade="BF"/>
        </w:rPr>
        <w:t xml:space="preserve"> Costi dell’hotel</w:t>
      </w:r>
    </w:p>
    <w:p w14:paraId="2FAEF7B1" w14:textId="77777777" w:rsidR="00836C44" w:rsidRPr="001605B4" w:rsidRDefault="00836C44" w:rsidP="00836C44"/>
    <w:p w14:paraId="66610BA1" w14:textId="77777777" w:rsidR="00836C44" w:rsidRPr="001605B4" w:rsidRDefault="00836C44" w:rsidP="00836C44">
      <w:r>
        <w:t>Di norma per i pernottamenti vanno scelti hotel di classe media. In via eccezionale, per motivi giustificati dall’interesse aziendale, è possibile optare anche per un hotel di categoria superiore.</w:t>
      </w:r>
    </w:p>
    <w:p w14:paraId="34080085" w14:textId="699761DA" w:rsidR="00836C44" w:rsidRPr="001605B4" w:rsidRDefault="00836C44" w:rsidP="00836C44">
      <w:r>
        <w:t>Sono autorizzati pernottamenti fuori sede qualora la destinazione finale fosse raggiungibile dopo le ore 22.00 a seguito di un viaggio di oltre 1 ora (in treno) o 40 km (in auto), inoltre anche nei casi in cui si lavori per due o più giornate di lavoro consecutive in località altrettanto distanti dal luogo di servizio.</w:t>
      </w:r>
    </w:p>
    <w:p w14:paraId="3208D0C6" w14:textId="77777777" w:rsidR="00836C44" w:rsidRPr="001605B4" w:rsidRDefault="00836C44" w:rsidP="00836C44">
      <w:r>
        <w:t>Vengono rimborsati i costi effettivi dell’hotel sulla base del giustificativo originale (fino a un massimo di CHF 200.– per pernottamento). Eventuali spese personali (ad es. telefonate private) dovranno essere detratte dalla fattura dell’hotel.</w:t>
      </w:r>
    </w:p>
    <w:p w14:paraId="173E0955" w14:textId="77777777" w:rsidR="00836C44" w:rsidRPr="001605B4" w:rsidRDefault="00836C44" w:rsidP="00836C44"/>
    <w:p w14:paraId="41F8CDB5" w14:textId="77777777" w:rsidR="00836C44" w:rsidRPr="001605B4" w:rsidRDefault="00836C44" w:rsidP="00836C44">
      <w:r>
        <w:t>In caso di pernottamento presso il domicilio privato di amici ecc., si rimborseranno i costi effettivi di un regalo per l’ospitante di valore non superiore a CHF 80.–.</w:t>
      </w:r>
    </w:p>
    <w:p w14:paraId="00F86BB4" w14:textId="77777777" w:rsidR="00836C44" w:rsidRPr="001605B4" w:rsidRDefault="00836C44" w:rsidP="00836C44">
      <w:r>
        <w:t>Eventuali viaggi di lavoro più lunghi e spese di importo superiore necessitano dell’accordo preventivo con il responsabile di settore e della sua autorizzazione.</w:t>
      </w:r>
    </w:p>
    <w:p w14:paraId="55488ECA" w14:textId="77777777" w:rsidR="00836C44" w:rsidRPr="001605B4" w:rsidRDefault="00836C44" w:rsidP="00836C44">
      <w:pPr>
        <w:rPr>
          <w:i/>
        </w:rPr>
      </w:pPr>
    </w:p>
    <w:p w14:paraId="5B9AB047" w14:textId="67F360B6" w:rsidR="00836C44" w:rsidRPr="001605B4" w:rsidRDefault="00836C44" w:rsidP="00836C44">
      <w:pPr>
        <w:pStyle w:val="berschrift2"/>
        <w:rPr>
          <w:rFonts w:cs="Arial"/>
          <w:b w:val="0"/>
          <w:color w:val="365F91" w:themeColor="accent1" w:themeShade="BF"/>
        </w:rPr>
      </w:pPr>
      <w:bookmarkStart w:id="49" w:name="TR_NXT_424"/>
      <w:bookmarkEnd w:id="49"/>
      <w:r>
        <w:rPr>
          <w:rFonts w:cs="Arial"/>
          <w:b w:val="0"/>
          <w:color w:val="365F91" w:themeColor="accent1" w:themeShade="BF"/>
        </w:rPr>
        <w:t>10.3.4</w:t>
      </w:r>
      <w:r w:rsidR="00A052A5">
        <w:rPr>
          <w:rFonts w:cs="Arial"/>
          <w:b w:val="0"/>
          <w:color w:val="365F91" w:themeColor="accent1" w:themeShade="BF"/>
        </w:rPr>
        <w:t xml:space="preserve">  </w:t>
      </w:r>
      <w:r>
        <w:rPr>
          <w:rFonts w:cs="Arial"/>
          <w:b w:val="0"/>
          <w:color w:val="365F91" w:themeColor="accent1" w:themeShade="BF"/>
        </w:rPr>
        <w:t xml:space="preserve"> Ospiti e privati</w:t>
      </w:r>
    </w:p>
    <w:p w14:paraId="58697161" w14:textId="77777777" w:rsidR="00836C44" w:rsidRPr="001605B4" w:rsidRDefault="00836C44" w:rsidP="00836C44">
      <w:pPr>
        <w:rPr>
          <w:i/>
        </w:rPr>
      </w:pPr>
    </w:p>
    <w:p w14:paraId="602F6B0E" w14:textId="51893F80" w:rsidR="008C3CDB" w:rsidRDefault="00836C44" w:rsidP="00836C44">
      <w:pPr>
        <w:rPr>
          <w:i/>
        </w:rPr>
      </w:pPr>
      <w:bookmarkStart w:id="50" w:name="TR_NXT_427"/>
      <w:bookmarkEnd w:id="50"/>
      <w:r>
        <w:rPr>
          <w:i/>
        </w:rPr>
        <w:t>Al rimborso di spese di trasporto, soggiorni in hotel, spese di ristorazione ecc. riconducibili a ospiti si applicano le stesse disposizioni valide per il personale.</w:t>
      </w:r>
    </w:p>
    <w:p w14:paraId="6D8E7D4D" w14:textId="4021DC5B" w:rsidR="00543FBA" w:rsidRPr="001605B4" w:rsidRDefault="00543FBA" w:rsidP="008C3CDB">
      <w:pPr>
        <w:spacing w:after="200" w:line="276" w:lineRule="auto"/>
      </w:pPr>
    </w:p>
    <w:sectPr w:rsidR="00543FBA" w:rsidRPr="001605B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3A85" w14:textId="77777777" w:rsidR="00D855E9" w:rsidRDefault="00D855E9" w:rsidP="00856CB6">
      <w:r>
        <w:separator/>
      </w:r>
    </w:p>
  </w:endnote>
  <w:endnote w:type="continuationSeparator" w:id="0">
    <w:p w14:paraId="35E0F5CA" w14:textId="77777777" w:rsidR="00D855E9" w:rsidRDefault="00D855E9" w:rsidP="0085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D44B7" w14:textId="77777777" w:rsidR="00D855E9" w:rsidRDefault="00D855E9" w:rsidP="00856CB6">
      <w:r>
        <w:separator/>
      </w:r>
    </w:p>
  </w:footnote>
  <w:footnote w:type="continuationSeparator" w:id="0">
    <w:p w14:paraId="7F0B6384" w14:textId="77777777" w:rsidR="00D855E9" w:rsidRDefault="00D855E9" w:rsidP="0085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A7C91"/>
    <w:multiLevelType w:val="hybridMultilevel"/>
    <w:tmpl w:val="47944B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3304382"/>
    <w:multiLevelType w:val="hybridMultilevel"/>
    <w:tmpl w:val="00D2C0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4773908"/>
    <w:multiLevelType w:val="hybridMultilevel"/>
    <w:tmpl w:val="386276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53675FD"/>
    <w:multiLevelType w:val="multilevel"/>
    <w:tmpl w:val="9954A9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91426B6"/>
    <w:multiLevelType w:val="hybridMultilevel"/>
    <w:tmpl w:val="89D423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A3C0C3A"/>
    <w:multiLevelType w:val="hybridMultilevel"/>
    <w:tmpl w:val="9D08AD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06658D9"/>
    <w:multiLevelType w:val="hybridMultilevel"/>
    <w:tmpl w:val="C86EBEC0"/>
    <w:lvl w:ilvl="0" w:tplc="7F48631C">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67957F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DD49ED"/>
    <w:multiLevelType w:val="hybridMultilevel"/>
    <w:tmpl w:val="973C45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25616023">
    <w:abstractNumId w:val="7"/>
  </w:num>
  <w:num w:numId="2" w16cid:durableId="311451754">
    <w:abstractNumId w:val="4"/>
  </w:num>
  <w:num w:numId="3" w16cid:durableId="1714423989">
    <w:abstractNumId w:val="5"/>
  </w:num>
  <w:num w:numId="4" w16cid:durableId="578369293">
    <w:abstractNumId w:val="3"/>
  </w:num>
  <w:num w:numId="5" w16cid:durableId="1347711627">
    <w:abstractNumId w:val="6"/>
  </w:num>
  <w:num w:numId="6" w16cid:durableId="488256837">
    <w:abstractNumId w:val="0"/>
  </w:num>
  <w:num w:numId="7" w16cid:durableId="1350570310">
    <w:abstractNumId w:val="8"/>
  </w:num>
  <w:num w:numId="8" w16cid:durableId="821385770">
    <w:abstractNumId w:val="1"/>
  </w:num>
  <w:num w:numId="9" w16cid:durableId="1091508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44"/>
    <w:rsid w:val="000672EB"/>
    <w:rsid w:val="001605B4"/>
    <w:rsid w:val="001F5F6C"/>
    <w:rsid w:val="001F636F"/>
    <w:rsid w:val="00223D7F"/>
    <w:rsid w:val="002F620A"/>
    <w:rsid w:val="00372F24"/>
    <w:rsid w:val="003A6B08"/>
    <w:rsid w:val="00427151"/>
    <w:rsid w:val="00484C02"/>
    <w:rsid w:val="004B01EF"/>
    <w:rsid w:val="004D0475"/>
    <w:rsid w:val="00543FBA"/>
    <w:rsid w:val="00566AF9"/>
    <w:rsid w:val="006160C1"/>
    <w:rsid w:val="00651DE5"/>
    <w:rsid w:val="007520B0"/>
    <w:rsid w:val="00836C44"/>
    <w:rsid w:val="00856CB6"/>
    <w:rsid w:val="00871330"/>
    <w:rsid w:val="00885BC1"/>
    <w:rsid w:val="00887B08"/>
    <w:rsid w:val="008A129B"/>
    <w:rsid w:val="008C3CDB"/>
    <w:rsid w:val="009A4FF9"/>
    <w:rsid w:val="00A052A5"/>
    <w:rsid w:val="00A127F3"/>
    <w:rsid w:val="00A510CE"/>
    <w:rsid w:val="00AC495A"/>
    <w:rsid w:val="00AE36DE"/>
    <w:rsid w:val="00B62CC8"/>
    <w:rsid w:val="00B67DD6"/>
    <w:rsid w:val="00BE0DF9"/>
    <w:rsid w:val="00C464D9"/>
    <w:rsid w:val="00C539DB"/>
    <w:rsid w:val="00C90831"/>
    <w:rsid w:val="00CA2C49"/>
    <w:rsid w:val="00CF6537"/>
    <w:rsid w:val="00D02407"/>
    <w:rsid w:val="00D32017"/>
    <w:rsid w:val="00D855E9"/>
    <w:rsid w:val="00D943B4"/>
    <w:rsid w:val="00DA4A4F"/>
    <w:rsid w:val="00E40135"/>
    <w:rsid w:val="00EC45E6"/>
    <w:rsid w:val="00EE77D4"/>
    <w:rsid w:val="00F16EB7"/>
    <w:rsid w:val="00F83D4B"/>
    <w:rsid w:val="00FB10E6"/>
    <w:rsid w:val="00FE3D9F"/>
    <w:rsid w:val="00FF1DDB"/>
    <w:rsid w:val="080A95F8"/>
    <w:rsid w:val="0A34E363"/>
    <w:rsid w:val="30D6C66A"/>
    <w:rsid w:val="53967C26"/>
    <w:rsid w:val="5815FAF6"/>
    <w:rsid w:val="59668750"/>
    <w:rsid w:val="6AAB2C27"/>
    <w:rsid w:val="737B5D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A8401C"/>
  <w15:docId w15:val="{7F0413F4-80E8-4BC3-93F4-0197C797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6C44"/>
    <w:pPr>
      <w:spacing w:after="0" w:line="240" w:lineRule="auto"/>
    </w:pPr>
    <w:rPr>
      <w:rFonts w:ascii="Arial" w:eastAsia="Times New Roman" w:hAnsi="Arial" w:cs="Arial"/>
      <w:lang w:eastAsia="de-CH"/>
    </w:rPr>
  </w:style>
  <w:style w:type="paragraph" w:styleId="berschrift1">
    <w:name w:val="heading 1"/>
    <w:basedOn w:val="Standard"/>
    <w:next w:val="Standard"/>
    <w:link w:val="berschrift1Zchn"/>
    <w:uiPriority w:val="9"/>
    <w:qFormat/>
    <w:rsid w:val="00BE0DF9"/>
    <w:pPr>
      <w:keepNext/>
      <w:spacing w:before="240" w:after="60"/>
      <w:outlineLvl w:val="0"/>
    </w:pPr>
    <w:rPr>
      <w:rFonts w:eastAsiaTheme="majorEastAsia" w:cstheme="majorBidi"/>
      <w:b/>
      <w:bCs/>
      <w:sz w:val="32"/>
      <w:szCs w:val="28"/>
    </w:rPr>
  </w:style>
  <w:style w:type="paragraph" w:styleId="berschrift2">
    <w:name w:val="heading 2"/>
    <w:basedOn w:val="Standard"/>
    <w:next w:val="Standard"/>
    <w:link w:val="berschrift2Zchn"/>
    <w:uiPriority w:val="9"/>
    <w:qFormat/>
    <w:rsid w:val="00BE0DF9"/>
    <w:pPr>
      <w:keepNext/>
      <w:spacing w:before="240" w:after="60"/>
      <w:outlineLvl w:val="1"/>
    </w:pPr>
    <w:rPr>
      <w:rFonts w:eastAsiaTheme="majorEastAsia" w:cstheme="majorBidi"/>
      <w:b/>
      <w:bCs/>
      <w:i/>
      <w:sz w:val="28"/>
      <w:szCs w:val="26"/>
    </w:rPr>
  </w:style>
  <w:style w:type="paragraph" w:styleId="berschrift3">
    <w:name w:val="heading 3"/>
    <w:basedOn w:val="Standard"/>
    <w:next w:val="Standard"/>
    <w:link w:val="berschrift3Zchn"/>
    <w:uiPriority w:val="9"/>
    <w:qFormat/>
    <w:rsid w:val="00BE0DF9"/>
    <w:pPr>
      <w:keepNext/>
      <w:spacing w:before="240" w:after="60"/>
      <w:outlineLvl w:val="2"/>
    </w:pPr>
    <w:rPr>
      <w:rFonts w:eastAsiaTheme="majorEastAsia" w:cstheme="majorBidi"/>
      <w:b/>
      <w:bCs/>
      <w:sz w:val="26"/>
    </w:rPr>
  </w:style>
  <w:style w:type="paragraph" w:styleId="berschrift4">
    <w:name w:val="heading 4"/>
    <w:basedOn w:val="Standard"/>
    <w:next w:val="Standard"/>
    <w:link w:val="berschrift4Zchn"/>
    <w:uiPriority w:val="9"/>
    <w:semiHidden/>
    <w:qFormat/>
    <w:rsid w:val="00D32017"/>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qFormat/>
    <w:rsid w:val="00D32017"/>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qFormat/>
    <w:rsid w:val="00D32017"/>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qFormat/>
    <w:rsid w:val="00D32017"/>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qFormat/>
    <w:rsid w:val="00D3201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qFormat/>
    <w:rsid w:val="000672E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0DF9"/>
    <w:rPr>
      <w:rFonts w:ascii="Arial" w:eastAsiaTheme="majorEastAsia" w:hAnsi="Arial" w:cstheme="majorBidi"/>
      <w:b/>
      <w:bCs/>
      <w:sz w:val="32"/>
      <w:szCs w:val="28"/>
    </w:rPr>
  </w:style>
  <w:style w:type="character" w:customStyle="1" w:styleId="berschrift2Zchn">
    <w:name w:val="Überschrift 2 Zchn"/>
    <w:basedOn w:val="Absatz-Standardschriftart"/>
    <w:link w:val="berschrift2"/>
    <w:uiPriority w:val="9"/>
    <w:rsid w:val="00BE0DF9"/>
    <w:rPr>
      <w:rFonts w:ascii="Arial" w:eastAsiaTheme="majorEastAsia" w:hAnsi="Arial" w:cstheme="majorBidi"/>
      <w:b/>
      <w:bCs/>
      <w:i/>
      <w:sz w:val="28"/>
      <w:szCs w:val="26"/>
    </w:rPr>
  </w:style>
  <w:style w:type="character" w:customStyle="1" w:styleId="berschrift3Zchn">
    <w:name w:val="Überschrift 3 Zchn"/>
    <w:basedOn w:val="Absatz-Standardschriftart"/>
    <w:link w:val="berschrift3"/>
    <w:uiPriority w:val="9"/>
    <w:rsid w:val="00BE0DF9"/>
    <w:rPr>
      <w:rFonts w:ascii="Arial" w:eastAsiaTheme="majorEastAsia" w:hAnsi="Arial" w:cstheme="majorBidi"/>
      <w:b/>
      <w:bCs/>
      <w:sz w:val="26"/>
    </w:rPr>
  </w:style>
  <w:style w:type="character" w:customStyle="1" w:styleId="berschrift4Zchn">
    <w:name w:val="Überschrift 4 Zchn"/>
    <w:basedOn w:val="Absatz-Standardschriftart"/>
    <w:link w:val="berschrift4"/>
    <w:uiPriority w:val="9"/>
    <w:semiHidden/>
    <w:rsid w:val="000672EB"/>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0672EB"/>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0672EB"/>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0672EB"/>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0672E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0672EB"/>
    <w:rPr>
      <w:rFonts w:asciiTheme="majorHAnsi" w:eastAsiaTheme="majorEastAsia" w:hAnsiTheme="majorHAnsi" w:cstheme="majorBidi"/>
      <w:i/>
      <w:iCs/>
      <w:color w:val="404040" w:themeColor="text1" w:themeTint="BF"/>
      <w:sz w:val="20"/>
      <w:szCs w:val="20"/>
    </w:rPr>
  </w:style>
  <w:style w:type="paragraph" w:styleId="Listenabsatz">
    <w:name w:val="List Paragraph"/>
    <w:aliases w:val="SBB Listenabsatz"/>
    <w:basedOn w:val="Standard"/>
    <w:uiPriority w:val="34"/>
    <w:qFormat/>
    <w:rsid w:val="00836C44"/>
    <w:pPr>
      <w:ind w:left="720"/>
      <w:contextualSpacing/>
    </w:pPr>
  </w:style>
  <w:style w:type="paragraph" w:styleId="Titel">
    <w:name w:val="Title"/>
    <w:basedOn w:val="Standard"/>
    <w:next w:val="Standard"/>
    <w:link w:val="TitelZchn"/>
    <w:uiPriority w:val="10"/>
    <w:qFormat/>
    <w:rsid w:val="00836C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836C44"/>
    <w:rPr>
      <w:rFonts w:asciiTheme="majorHAnsi" w:eastAsiaTheme="majorEastAsia" w:hAnsiTheme="majorHAnsi" w:cstheme="majorBidi"/>
      <w:color w:val="17365D" w:themeColor="text2" w:themeShade="BF"/>
      <w:spacing w:val="5"/>
      <w:kern w:val="28"/>
      <w:sz w:val="52"/>
      <w:szCs w:val="52"/>
      <w:lang w:val="it-IT" w:eastAsia="de-CH"/>
    </w:rPr>
  </w:style>
  <w:style w:type="table" w:styleId="Tabellenraster">
    <w:name w:val="Table Grid"/>
    <w:basedOn w:val="NormaleTabelle"/>
    <w:uiPriority w:val="59"/>
    <w:rsid w:val="00836C44"/>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eastAsia="Times New Roman" w:hAnsi="Arial" w:cs="Arial"/>
      <w:sz w:val="20"/>
      <w:szCs w:val="20"/>
      <w:lang w:val="it-IT" w:eastAsia="de-CH"/>
    </w:rPr>
  </w:style>
  <w:style w:type="character" w:styleId="Kommentarzeichen">
    <w:name w:val="annotation reference"/>
    <w:basedOn w:val="Absatz-Standardschriftart"/>
    <w:uiPriority w:val="99"/>
    <w:semiHidden/>
    <w:unhideWhenUsed/>
    <w:rPr>
      <w:sz w:val="16"/>
      <w:szCs w:val="16"/>
    </w:rPr>
  </w:style>
  <w:style w:type="character" w:styleId="Hyperlink">
    <w:name w:val="Hyperlink"/>
    <w:basedOn w:val="Absatz-Standardschriftart"/>
    <w:uiPriority w:val="99"/>
    <w:unhideWhenUsed/>
    <w:rsid w:val="00885BC1"/>
    <w:rPr>
      <w:color w:val="0000FF" w:themeColor="hyperlink"/>
      <w:u w:val="single"/>
    </w:rPr>
  </w:style>
  <w:style w:type="character" w:styleId="NichtaufgelsteErwhnung">
    <w:name w:val="Unresolved Mention"/>
    <w:basedOn w:val="Absatz-Standardschriftart"/>
    <w:uiPriority w:val="99"/>
    <w:semiHidden/>
    <w:unhideWhenUsed/>
    <w:rsid w:val="00885BC1"/>
    <w:rPr>
      <w:color w:val="605E5C"/>
      <w:shd w:val="clear" w:color="auto" w:fill="E1DFDD"/>
    </w:rPr>
  </w:style>
  <w:style w:type="character" w:styleId="Erwhnung">
    <w:name w:val="Mention"/>
    <w:basedOn w:val="Absatz-Standardschriftart"/>
    <w:uiPriority w:val="99"/>
    <w:unhideWhenUsed/>
    <w:rPr>
      <w:color w:val="2B579A"/>
      <w:shd w:val="clear" w:color="auto" w:fill="E6E6E6"/>
    </w:rPr>
  </w:style>
  <w:style w:type="paragraph" w:customStyle="1" w:styleId="einzug">
    <w:name w:val="einzug"/>
    <w:basedOn w:val="Textkrper"/>
    <w:rsid w:val="00DA4A4F"/>
    <w:pPr>
      <w:spacing w:before="240" w:after="60" w:line="256" w:lineRule="auto"/>
    </w:pPr>
    <w:rPr>
      <w:rFonts w:ascii="Times New Roman" w:hAnsi="Times New Roman" w:cs="Times New Roman"/>
      <w:sz w:val="24"/>
      <w:szCs w:val="20"/>
      <w:lang w:eastAsia="de-DE"/>
    </w:rPr>
  </w:style>
  <w:style w:type="paragraph" w:styleId="Textkrper">
    <w:name w:val="Body Text"/>
    <w:basedOn w:val="Standard"/>
    <w:link w:val="TextkrperZchn"/>
    <w:uiPriority w:val="99"/>
    <w:semiHidden/>
    <w:unhideWhenUsed/>
    <w:rsid w:val="00DA4A4F"/>
    <w:pPr>
      <w:spacing w:after="120"/>
    </w:pPr>
  </w:style>
  <w:style w:type="character" w:customStyle="1" w:styleId="TextkrperZchn">
    <w:name w:val="Textkörper Zchn"/>
    <w:basedOn w:val="Absatz-Standardschriftart"/>
    <w:link w:val="Textkrper"/>
    <w:uiPriority w:val="99"/>
    <w:semiHidden/>
    <w:rsid w:val="00DA4A4F"/>
    <w:rPr>
      <w:rFonts w:ascii="Arial" w:eastAsia="Times New Roman" w:hAnsi="Arial" w:cs="Arial"/>
      <w:lang w:val="it-IT" w:eastAsia="de-CH"/>
    </w:rPr>
  </w:style>
  <w:style w:type="character" w:styleId="BesuchterLink">
    <w:name w:val="FollowedHyperlink"/>
    <w:basedOn w:val="Absatz-Standardschriftart"/>
    <w:uiPriority w:val="99"/>
    <w:semiHidden/>
    <w:unhideWhenUsed/>
    <w:rsid w:val="00F83D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wisspass.ch/home?lang=it" TargetMode="External"/><Relationship Id="rId5" Type="http://schemas.openxmlformats.org/officeDocument/2006/relationships/styles" Target="styles.xml"/><Relationship Id="rId10" Type="http://schemas.openxmlformats.org/officeDocument/2006/relationships/hyperlink" Target="https://business.sbb.ch/it/registrazione/procedura-registrazione/come-funziona.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DE3815F91F612429191A91E54BF43DF" ma:contentTypeVersion="19" ma:contentTypeDescription="Ein neues Dokument erstellen." ma:contentTypeScope="" ma:versionID="7ec0e33e446f2618dfa265752431a6b3">
  <xsd:schema xmlns:xsd="http://www.w3.org/2001/XMLSchema" xmlns:xs="http://www.w3.org/2001/XMLSchema" xmlns:p="http://schemas.microsoft.com/office/2006/metadata/properties" xmlns:ns2="44c0830c-b9e6-45cf-b257-1b865a20fc29" xmlns:ns3="64664251-1c74-4052-83e8-d50dc1d2cd7f" targetNamespace="http://schemas.microsoft.com/office/2006/metadata/properties" ma:root="true" ma:fieldsID="3f7475085af734aa460f085d714c87d5" ns2:_="" ns3:_="">
    <xsd:import namespace="44c0830c-b9e6-45cf-b257-1b865a20fc29"/>
    <xsd:import namespace="64664251-1c74-4052-83e8-d50dc1d2cd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0830c-b9e6-45cf-b257-1b865a20f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e7e7b05-955d-4ec1-8c45-691041b8b0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664251-1c74-4052-83e8-d50dc1d2cd7f"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a256db1-7c1d-4743-a69c-5b93168ff2ef}" ma:internalName="TaxCatchAll" ma:showField="CatchAllData" ma:web="64664251-1c74-4052-83e8-d50dc1d2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TaxCatchAll xmlns="64664251-1c74-4052-83e8-d50dc1d2cd7f" xsi:nil="true"/>
    <lcf76f155ced4ddcb4097134ff3c332f xmlns="44c0830c-b9e6-45cf-b257-1b865a20fc29">
      <pc: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02B72-73BE-47B4-B0C2-C1A7500204DB}"/>
</file>

<file path=customXml/itemProps2.xml><?xml version="1.0" encoding="utf-8"?>
<ds:datastoreItem xmlns:ds="http://schemas.openxmlformats.org/officeDocument/2006/customXml" ds:itemID="{F72AC432-7574-4D90-9DA5-07A77FF85F5F}"/>
</file>

<file path=customXml/itemProps3.xml><?xml version="1.0" encoding="utf-8"?>
<ds:datastoreItem xmlns:ds="http://schemas.openxmlformats.org/officeDocument/2006/customXml" ds:itemID="{155366B1-1D21-42F6-ABE1-CFC83CFBB0D8}">
  <ds:schemaRefs>
    <ds:schemaRef ds:uri="http://schemas.microsoft.com/office/2006/metadata/properties"/>
    <ds:schemaRef ds:uri="http://schemas.microsoft.com/office/infopath/2007/PartnerControls"/>
    <ds:schemaRef ds:uri="64664251-1c74-4052-83e8-d50dc1d2cd7f"/>
    <ds:schemaRef ds:uri="44c0830c-b9e6-45cf-b257-1b865a20fc29"/>
    <ds:schemaRef ds:uri="http://www.star-group.net/schemas/transit/filters/textdata"/>
  </ds:schemaRefs>
</ds:datastoreItem>
</file>

<file path=docMetadata/LabelInfo.xml><?xml version="1.0" encoding="utf-8"?>
<clbl:labelList xmlns:clbl="http://schemas.microsoft.com/office/2020/mipLabelMetadata">
  <clbl:label id="{2cda5d11-f0ac-46b3-967d-af1b2e1bd01a}" enabled="0" method="" siteId="{2cda5d11-f0ac-46b3-967d-af1b2e1bd01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1466</Words>
  <Characters>9241</Characters>
  <Application>Microsoft Office Word</Application>
  <DocSecurity>4</DocSecurity>
  <Lines>77</Lines>
  <Paragraphs>21</Paragraphs>
  <ScaleCrop>false</ScaleCrop>
  <Company>SBB AG</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u126503</dc:creator>
  <cp:lastModifiedBy>Rohner Bruno (MP-VS-BEV-GK-GMO)</cp:lastModifiedBy>
  <cp:revision>2</cp:revision>
  <cp:lastPrinted>2011-10-27T05:36:00Z</cp:lastPrinted>
  <dcterms:created xsi:type="dcterms:W3CDTF">2025-12-04T15:57:00Z</dcterms:created>
  <dcterms:modified xsi:type="dcterms:W3CDTF">2025-12-04T15:57:00Z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-743387377</vt:i4>
  </property>
  <property fmtid="{D5CDD505-2E9C-101B-9397-08002B2CF9AE}" pid="3" name="_NewReviewCycle">
    <vt:lpwstr/>
  </property>
  <property fmtid="{D5CDD505-2E9C-101B-9397-08002B2CF9AE}" pid="4" name="_EmailSubject">
    <vt:lpwstr>Reiserichtlinien</vt:lpwstr>
  </property>
  <property fmtid="{D5CDD505-2E9C-101B-9397-08002B2CF9AE}" pid="5" name="_AuthorEmail">
    <vt:lpwstr>peter.em.emmenegger@sbb.ch</vt:lpwstr>
  </property>
  <property fmtid="{D5CDD505-2E9C-101B-9397-08002B2CF9AE}" pid="6" name="_AuthorEmailDisplayName">
    <vt:lpwstr>Emmenegger Peter (P-VS-GK)</vt:lpwstr>
  </property>
  <property fmtid="{D5CDD505-2E9C-101B-9397-08002B2CF9AE}" pid="7" name="_ReviewingToolsShownOnce">
    <vt:lpwstr/>
  </property>
  <property fmtid="{D5CDD505-2E9C-101B-9397-08002B2CF9AE}" pid="8" name="ContentTypeId">
    <vt:lpwstr>0x0101007DE3815F91F612429191A91E54BF43DF</vt:lpwstr>
  </property>
  <property fmtid="{D5CDD505-2E9C-101B-9397-08002B2CF9AE}" pid="9" name="MediaServiceImageTags">
    <vt:lpwstr/>
  </property>
</Properties>
</file>