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640" w:type="dxa"/>
        <w:tblInd w:w="-34" w:type="dxa"/>
        <w:tblLook w:val="04A0" w:firstRow="1" w:lastRow="0" w:firstColumn="1" w:lastColumn="0" w:noHBand="0" w:noVBand="1"/>
      </w:tblPr>
      <w:tblGrid>
        <w:gridCol w:w="2502"/>
        <w:gridCol w:w="1842"/>
        <w:gridCol w:w="1842"/>
        <w:gridCol w:w="1843"/>
        <w:gridCol w:w="1611"/>
      </w:tblGrid>
      <w:tr w:rsidR="00836C44" w:rsidRPr="00345229" w14:paraId="302F58F3" w14:textId="77777777" w:rsidTr="001605B4">
        <w:tc>
          <w:tcPr>
            <w:tcW w:w="2502" w:type="dxa"/>
            <w:vMerge w:val="restart"/>
          </w:tcPr>
          <w:p w14:paraId="3E0D61B1" w14:textId="77777777" w:rsidR="00836C44" w:rsidRPr="00345229" w:rsidRDefault="00836C44" w:rsidP="001605B4">
            <w:pPr>
              <w:spacing w:line="276" w:lineRule="auto"/>
              <w:rPr>
                <w:sz w:val="18"/>
              </w:rPr>
            </w:pPr>
            <w:r w:rsidRPr="00345229">
              <w:rPr>
                <w:b/>
                <w:sz w:val="18"/>
              </w:rPr>
              <w:t>Éditeur (responsabilité):</w:t>
            </w:r>
            <w:r w:rsidRPr="00345229">
              <w:rPr>
                <w:sz w:val="18"/>
              </w:rPr>
              <w:t xml:space="preserve"> </w:t>
            </w:r>
            <w:r w:rsidRPr="00345229">
              <w:rPr>
                <w:i/>
                <w:sz w:val="18"/>
              </w:rPr>
              <w:t>Service</w:t>
            </w:r>
          </w:p>
          <w:p w14:paraId="22698B75" w14:textId="77777777" w:rsidR="00836C44" w:rsidRPr="00345229" w:rsidRDefault="00836C44" w:rsidP="001605B4">
            <w:pPr>
              <w:spacing w:line="276" w:lineRule="auto"/>
              <w:rPr>
                <w:sz w:val="18"/>
              </w:rPr>
            </w:pPr>
          </w:p>
          <w:p w14:paraId="4617DE45" w14:textId="77777777" w:rsidR="00836C44" w:rsidRPr="00345229" w:rsidRDefault="00836C44" w:rsidP="001605B4">
            <w:pPr>
              <w:spacing w:line="276" w:lineRule="auto"/>
              <w:rPr>
                <w:b/>
                <w:sz w:val="18"/>
              </w:rPr>
            </w:pPr>
            <w:r w:rsidRPr="00345229">
              <w:rPr>
                <w:b/>
                <w:sz w:val="18"/>
              </w:rPr>
              <w:t>Traité par:</w:t>
            </w:r>
          </w:p>
          <w:p w14:paraId="1CB6E3F2" w14:textId="77777777" w:rsidR="00836C44" w:rsidRPr="00345229" w:rsidRDefault="00836C44" w:rsidP="001605B4">
            <w:pPr>
              <w:spacing w:line="276" w:lineRule="auto"/>
              <w:rPr>
                <w:sz w:val="18"/>
              </w:rPr>
            </w:pPr>
          </w:p>
        </w:tc>
        <w:tc>
          <w:tcPr>
            <w:tcW w:w="1842" w:type="dxa"/>
            <w:tcBorders>
              <w:bottom w:val="nil"/>
              <w:right w:val="nil"/>
            </w:tcBorders>
          </w:tcPr>
          <w:p w14:paraId="2F537D74" w14:textId="77777777" w:rsidR="00836C44" w:rsidRPr="00345229" w:rsidRDefault="00836C44" w:rsidP="001605B4">
            <w:pPr>
              <w:spacing w:line="276" w:lineRule="auto"/>
              <w:rPr>
                <w:b/>
                <w:sz w:val="18"/>
              </w:rPr>
            </w:pPr>
            <w:r w:rsidRPr="00345229">
              <w:rPr>
                <w:b/>
                <w:sz w:val="18"/>
              </w:rPr>
              <w:t>Date d’émission:</w:t>
            </w:r>
          </w:p>
          <w:p w14:paraId="31008A02" w14:textId="77777777" w:rsidR="00836C44" w:rsidRPr="00345229" w:rsidRDefault="00836C44" w:rsidP="001605B4">
            <w:pPr>
              <w:spacing w:line="276" w:lineRule="auto"/>
              <w:rPr>
                <w:sz w:val="18"/>
              </w:rPr>
            </w:pPr>
          </w:p>
        </w:tc>
        <w:tc>
          <w:tcPr>
            <w:tcW w:w="1842" w:type="dxa"/>
            <w:tcBorders>
              <w:left w:val="nil"/>
              <w:bottom w:val="nil"/>
            </w:tcBorders>
          </w:tcPr>
          <w:p w14:paraId="7CBB3169" w14:textId="77777777" w:rsidR="00836C44" w:rsidRPr="00345229" w:rsidRDefault="00836C44" w:rsidP="001605B4">
            <w:pPr>
              <w:spacing w:line="276" w:lineRule="auto"/>
              <w:rPr>
                <w:b/>
                <w:sz w:val="18"/>
              </w:rPr>
            </w:pPr>
            <w:r w:rsidRPr="00345229">
              <w:rPr>
                <w:b/>
                <w:sz w:val="18"/>
              </w:rPr>
              <w:t>Entrée en vigueur:</w:t>
            </w:r>
          </w:p>
          <w:p w14:paraId="34637C4F" w14:textId="77777777" w:rsidR="00836C44" w:rsidRPr="00345229" w:rsidRDefault="00836C44" w:rsidP="001605B4">
            <w:pPr>
              <w:spacing w:line="276" w:lineRule="auto"/>
              <w:rPr>
                <w:sz w:val="18"/>
              </w:rPr>
            </w:pPr>
          </w:p>
        </w:tc>
        <w:tc>
          <w:tcPr>
            <w:tcW w:w="1843" w:type="dxa"/>
            <w:tcBorders>
              <w:bottom w:val="nil"/>
              <w:right w:val="nil"/>
            </w:tcBorders>
          </w:tcPr>
          <w:p w14:paraId="67A4C394" w14:textId="77777777" w:rsidR="00836C44" w:rsidRPr="00345229" w:rsidRDefault="00836C44" w:rsidP="001605B4">
            <w:pPr>
              <w:spacing w:line="276" w:lineRule="auto"/>
              <w:rPr>
                <w:b/>
                <w:sz w:val="18"/>
              </w:rPr>
            </w:pPr>
            <w:r w:rsidRPr="00345229">
              <w:rPr>
                <w:b/>
                <w:sz w:val="18"/>
              </w:rPr>
              <w:t>Attribution:</w:t>
            </w:r>
          </w:p>
        </w:tc>
        <w:tc>
          <w:tcPr>
            <w:tcW w:w="1611" w:type="dxa"/>
            <w:tcBorders>
              <w:left w:val="nil"/>
              <w:bottom w:val="nil"/>
            </w:tcBorders>
          </w:tcPr>
          <w:p w14:paraId="36EFFFA6" w14:textId="77777777" w:rsidR="00836C44" w:rsidRPr="00345229" w:rsidRDefault="00836C44" w:rsidP="001605B4">
            <w:pPr>
              <w:spacing w:line="276" w:lineRule="auto"/>
              <w:rPr>
                <w:b/>
                <w:sz w:val="18"/>
              </w:rPr>
            </w:pPr>
            <w:r w:rsidRPr="00345229">
              <w:rPr>
                <w:b/>
                <w:sz w:val="18"/>
              </w:rPr>
              <w:t>Classification:</w:t>
            </w:r>
          </w:p>
        </w:tc>
      </w:tr>
      <w:tr w:rsidR="00836C44" w:rsidRPr="00345229" w14:paraId="4FD02835" w14:textId="77777777" w:rsidTr="001605B4">
        <w:tc>
          <w:tcPr>
            <w:tcW w:w="2502" w:type="dxa"/>
            <w:vMerge/>
            <w:tcBorders>
              <w:bottom w:val="single" w:sz="4" w:space="0" w:color="auto"/>
            </w:tcBorders>
          </w:tcPr>
          <w:p w14:paraId="23742D5C" w14:textId="77777777" w:rsidR="00836C44" w:rsidRPr="00345229" w:rsidRDefault="00836C44" w:rsidP="001605B4">
            <w:pPr>
              <w:spacing w:line="276" w:lineRule="auto"/>
              <w:rPr>
                <w:sz w:val="18"/>
              </w:rPr>
            </w:pPr>
          </w:p>
        </w:tc>
        <w:tc>
          <w:tcPr>
            <w:tcW w:w="3684" w:type="dxa"/>
            <w:gridSpan w:val="2"/>
            <w:tcBorders>
              <w:top w:val="nil"/>
              <w:bottom w:val="single" w:sz="4" w:space="0" w:color="auto"/>
            </w:tcBorders>
          </w:tcPr>
          <w:p w14:paraId="625A38A7" w14:textId="77777777" w:rsidR="008C3CDB" w:rsidRPr="00345229" w:rsidRDefault="008C3CDB" w:rsidP="001605B4">
            <w:pPr>
              <w:spacing w:line="276" w:lineRule="auto"/>
              <w:rPr>
                <w:b/>
                <w:sz w:val="18"/>
              </w:rPr>
            </w:pPr>
          </w:p>
          <w:p w14:paraId="3AFCD60C" w14:textId="6E0F7722" w:rsidR="00836C44" w:rsidRPr="00345229" w:rsidRDefault="00836C44" w:rsidP="001605B4">
            <w:pPr>
              <w:spacing w:line="276" w:lineRule="auto"/>
              <w:rPr>
                <w:b/>
                <w:sz w:val="18"/>
              </w:rPr>
            </w:pPr>
            <w:r w:rsidRPr="00345229">
              <w:rPr>
                <w:b/>
                <w:sz w:val="18"/>
              </w:rPr>
              <w:t>Approbation:</w:t>
            </w:r>
          </w:p>
          <w:p w14:paraId="10AC69F9" w14:textId="77777777" w:rsidR="00836C44" w:rsidRPr="00345229" w:rsidRDefault="00836C44" w:rsidP="001605B4">
            <w:pPr>
              <w:spacing w:line="276" w:lineRule="auto"/>
              <w:rPr>
                <w:sz w:val="18"/>
              </w:rPr>
            </w:pPr>
          </w:p>
        </w:tc>
        <w:tc>
          <w:tcPr>
            <w:tcW w:w="3454" w:type="dxa"/>
            <w:gridSpan w:val="2"/>
            <w:tcBorders>
              <w:top w:val="nil"/>
              <w:bottom w:val="single" w:sz="4" w:space="0" w:color="auto"/>
            </w:tcBorders>
          </w:tcPr>
          <w:p w14:paraId="36A37E9E" w14:textId="77777777" w:rsidR="008C3CDB" w:rsidRPr="00345229" w:rsidRDefault="008C3CDB" w:rsidP="001605B4">
            <w:pPr>
              <w:spacing w:line="276" w:lineRule="auto"/>
              <w:rPr>
                <w:b/>
                <w:sz w:val="18"/>
              </w:rPr>
            </w:pPr>
          </w:p>
          <w:p w14:paraId="416A203E" w14:textId="3A3C4EB0" w:rsidR="00836C44" w:rsidRPr="00345229" w:rsidRDefault="00836C44" w:rsidP="001605B4">
            <w:pPr>
              <w:spacing w:line="276" w:lineRule="auto"/>
              <w:rPr>
                <w:b/>
                <w:sz w:val="18"/>
              </w:rPr>
            </w:pPr>
            <w:r w:rsidRPr="00345229">
              <w:rPr>
                <w:b/>
                <w:sz w:val="18"/>
              </w:rPr>
              <w:t>Remplace:</w:t>
            </w:r>
          </w:p>
          <w:p w14:paraId="1F63B980" w14:textId="77777777" w:rsidR="00836C44" w:rsidRPr="00345229" w:rsidRDefault="00836C44" w:rsidP="001605B4">
            <w:pPr>
              <w:spacing w:line="276" w:lineRule="auto"/>
              <w:rPr>
                <w:sz w:val="18"/>
              </w:rPr>
            </w:pPr>
          </w:p>
        </w:tc>
      </w:tr>
      <w:tr w:rsidR="00836C44" w:rsidRPr="00345229" w14:paraId="49A35A63" w14:textId="77777777" w:rsidTr="001605B4">
        <w:tc>
          <w:tcPr>
            <w:tcW w:w="6186" w:type="dxa"/>
            <w:gridSpan w:val="3"/>
            <w:tcBorders>
              <w:right w:val="nil"/>
            </w:tcBorders>
          </w:tcPr>
          <w:p w14:paraId="7FA368BE" w14:textId="77777777" w:rsidR="00836C44" w:rsidRPr="00345229" w:rsidRDefault="00836C44" w:rsidP="001605B4">
            <w:pPr>
              <w:spacing w:line="276" w:lineRule="auto"/>
              <w:rPr>
                <w:b/>
                <w:sz w:val="18"/>
              </w:rPr>
            </w:pPr>
            <w:r w:rsidRPr="00345229">
              <w:rPr>
                <w:b/>
                <w:sz w:val="18"/>
              </w:rPr>
              <w:t>Distribution:</w:t>
            </w:r>
          </w:p>
          <w:p w14:paraId="3AF64C04" w14:textId="77777777" w:rsidR="00836C44" w:rsidRPr="00345229" w:rsidRDefault="00836C44" w:rsidP="001605B4">
            <w:pPr>
              <w:spacing w:line="276" w:lineRule="auto"/>
              <w:rPr>
                <w:i/>
                <w:sz w:val="18"/>
              </w:rPr>
            </w:pPr>
            <w:r w:rsidRPr="00345229">
              <w:rPr>
                <w:i/>
                <w:sz w:val="18"/>
              </w:rPr>
              <w:t>secteurs d’activité/ensemble de l’entreprise</w:t>
            </w:r>
          </w:p>
          <w:p w14:paraId="15CF0D32" w14:textId="77777777" w:rsidR="00836C44" w:rsidRPr="00345229" w:rsidRDefault="00836C44" w:rsidP="001605B4">
            <w:pPr>
              <w:spacing w:line="276" w:lineRule="auto"/>
              <w:rPr>
                <w:sz w:val="18"/>
              </w:rPr>
            </w:pPr>
          </w:p>
          <w:p w14:paraId="433A058A" w14:textId="77777777" w:rsidR="00836C44" w:rsidRPr="00345229" w:rsidRDefault="00836C44" w:rsidP="001605B4">
            <w:pPr>
              <w:spacing w:line="276" w:lineRule="auto"/>
              <w:rPr>
                <w:sz w:val="18"/>
              </w:rPr>
            </w:pPr>
          </w:p>
        </w:tc>
        <w:tc>
          <w:tcPr>
            <w:tcW w:w="3454" w:type="dxa"/>
            <w:gridSpan w:val="2"/>
            <w:tcBorders>
              <w:left w:val="nil"/>
            </w:tcBorders>
          </w:tcPr>
          <w:p w14:paraId="23F358D3" w14:textId="77777777" w:rsidR="00836C44" w:rsidRPr="00345229" w:rsidRDefault="00836C44" w:rsidP="001605B4">
            <w:pPr>
              <w:spacing w:line="276" w:lineRule="auto"/>
              <w:rPr>
                <w:sz w:val="18"/>
              </w:rPr>
            </w:pPr>
            <w:r w:rsidRPr="00345229">
              <w:rPr>
                <w:b/>
                <w:sz w:val="18"/>
              </w:rPr>
              <w:t>Langues:</w:t>
            </w:r>
            <w:r w:rsidRPr="00345229">
              <w:rPr>
                <w:sz w:val="18"/>
              </w:rPr>
              <w:t xml:space="preserve"> </w:t>
            </w:r>
            <w:r w:rsidRPr="00345229">
              <w:rPr>
                <w:sz w:val="18"/>
                <w:u w:val="single"/>
              </w:rPr>
              <w:t>d</w:t>
            </w:r>
            <w:r w:rsidRPr="00345229">
              <w:rPr>
                <w:sz w:val="18"/>
              </w:rPr>
              <w:t>/f/i</w:t>
            </w:r>
          </w:p>
        </w:tc>
      </w:tr>
    </w:tbl>
    <w:p w14:paraId="1ACF6999" w14:textId="77777777" w:rsidR="00836C44" w:rsidRPr="00345229" w:rsidRDefault="00836C44" w:rsidP="00836C44"/>
    <w:p w14:paraId="2212E00F" w14:textId="77777777" w:rsidR="00836C44" w:rsidRPr="00345229" w:rsidRDefault="00836C44" w:rsidP="00836C44"/>
    <w:p w14:paraId="3D8325B9" w14:textId="77777777" w:rsidR="002F620A" w:rsidRPr="00345229" w:rsidRDefault="002F620A" w:rsidP="002F620A">
      <w:pPr>
        <w:jc w:val="both"/>
        <w:rPr>
          <w:u w:val="single"/>
        </w:rPr>
      </w:pPr>
      <w:bookmarkStart w:id="0" w:name="TR_NXT_58"/>
      <w:bookmarkEnd w:id="0"/>
      <w:r w:rsidRPr="00345229">
        <w:rPr>
          <w:u w:val="single"/>
        </w:rPr>
        <w:t>Remarques</w:t>
      </w:r>
    </w:p>
    <w:p w14:paraId="6B4AF31D" w14:textId="77777777" w:rsidR="002F620A" w:rsidRPr="00345229" w:rsidRDefault="002F620A" w:rsidP="002F620A">
      <w:pPr>
        <w:jc w:val="both"/>
      </w:pPr>
      <w:bookmarkStart w:id="1" w:name="TR_NXT_62"/>
      <w:bookmarkEnd w:id="1"/>
      <w:r w:rsidRPr="00345229">
        <w:t xml:space="preserve">Les CFF œuvrent pour instaurer une gestion de la mobilité moderne pour les entreprises. Notre objectif consiste à vous assister du mieux possible pour toutes les questions ayant trait à la mobilité. Il s’agit également d’augmenter le niveau de durabilité économique, écologique et sociale de votre mobilité au sein de l’entreprise. Outre un portefeuille de prestations de mobilité couvrant tous les modes de transport (transports publics, TIM et MD), nous disposons d’un bon réseau de partenaires dans le domaine de la planification de la mobilité et du trafic. </w:t>
      </w:r>
    </w:p>
    <w:p w14:paraId="03548FAA" w14:textId="77777777" w:rsidR="004B01EF" w:rsidRPr="00345229" w:rsidRDefault="004B01EF" w:rsidP="002F620A">
      <w:pPr>
        <w:jc w:val="both"/>
      </w:pPr>
    </w:p>
    <w:p w14:paraId="4B10AB6D" w14:textId="464294D5" w:rsidR="002F620A" w:rsidRPr="00345229" w:rsidRDefault="002F620A" w:rsidP="002F620A">
      <w:pPr>
        <w:jc w:val="both"/>
        <w:rPr>
          <w:u w:val="single"/>
        </w:rPr>
      </w:pPr>
      <w:bookmarkStart w:id="2" w:name="TR_NXT_65"/>
      <w:bookmarkEnd w:id="2"/>
      <w:r w:rsidRPr="00345229">
        <w:rPr>
          <w:u w:val="single"/>
        </w:rPr>
        <w:t>Exclusion de responsabilité</w:t>
      </w:r>
    </w:p>
    <w:p w14:paraId="598D42E6" w14:textId="77777777" w:rsidR="002F620A" w:rsidRPr="00345229" w:rsidRDefault="002F620A" w:rsidP="002F620A">
      <w:pPr>
        <w:jc w:val="both"/>
      </w:pPr>
      <w:bookmarkStart w:id="3" w:name="TR_NXT_67"/>
      <w:bookmarkEnd w:id="3"/>
      <w:r w:rsidRPr="00345229">
        <w:t>Les CFF n’assument aucune responsabilité pour les contenus, les recommandations et les implications de mise en œuvre du présent document. Ce modèle ne remplace pas un conseil par des experts en mobilité accrédités et n’a aucune prétention d’exhaustivité ni de force juridique. En cas de questions spécifiques ou d’incertitudes juridiques, il convient de s’appuyer sur des soutiens qualifiés.</w:t>
      </w:r>
    </w:p>
    <w:p w14:paraId="1B4C4447" w14:textId="77777777" w:rsidR="002F620A" w:rsidRPr="00345229" w:rsidRDefault="007056A5" w:rsidP="002F620A">
      <w:pPr>
        <w:jc w:val="both"/>
      </w:pPr>
      <w:bookmarkStart w:id="4" w:name="TR_NXT_69"/>
      <w:bookmarkEnd w:id="4"/>
      <w:r>
        <w:pict w14:anchorId="002F9C13">
          <v:rect id="_x0000_i1025" style="width:0;height:1.5pt" o:hralign="center" o:hrstd="t" o:hr="t" fillcolor="#a0a0a0" stroked="f"/>
        </w:pict>
      </w:r>
    </w:p>
    <w:p w14:paraId="57E41FA6" w14:textId="77777777" w:rsidR="002F620A" w:rsidRPr="00345229" w:rsidRDefault="002F620A" w:rsidP="002F620A">
      <w:pPr>
        <w:jc w:val="both"/>
      </w:pPr>
      <w:bookmarkStart w:id="5" w:name="TR_NXT_71"/>
      <w:bookmarkEnd w:id="5"/>
      <w:r w:rsidRPr="00345229">
        <w:br w:type="page"/>
      </w:r>
    </w:p>
    <w:p w14:paraId="4331FF3A" w14:textId="77777777" w:rsidR="002F620A" w:rsidRPr="00345229" w:rsidRDefault="002F620A" w:rsidP="00836C44"/>
    <w:p w14:paraId="12DA801C" w14:textId="77777777" w:rsidR="002F620A" w:rsidRPr="00345229" w:rsidRDefault="002F620A" w:rsidP="00836C44"/>
    <w:p w14:paraId="127D4A26" w14:textId="77777777" w:rsidR="002F620A" w:rsidRPr="00345229" w:rsidRDefault="002F620A" w:rsidP="00836C44"/>
    <w:p w14:paraId="67DC0EC5" w14:textId="77777777" w:rsidR="002F620A" w:rsidRPr="00345229" w:rsidRDefault="002F620A" w:rsidP="00836C44"/>
    <w:p w14:paraId="492A723F" w14:textId="77777777" w:rsidR="00836C44" w:rsidRPr="00345229" w:rsidRDefault="00836C44" w:rsidP="00836C44">
      <w:pPr>
        <w:pStyle w:val="Titel"/>
        <w:rPr>
          <w:rFonts w:ascii="Arial" w:hAnsi="Arial" w:cs="Arial"/>
          <w:color w:val="365F91" w:themeColor="accent1" w:themeShade="BF"/>
        </w:rPr>
      </w:pPr>
      <w:bookmarkStart w:id="6" w:name="TR_NXT_76"/>
      <w:bookmarkEnd w:id="6"/>
      <w:r w:rsidRPr="00345229">
        <w:rPr>
          <w:rFonts w:ascii="Arial" w:hAnsi="Arial" w:cs="Arial"/>
          <w:i/>
          <w:color w:val="365F91" w:themeColor="accent1" w:themeShade="BF"/>
        </w:rPr>
        <w:t>MODÈLE</w:t>
      </w:r>
      <w:r w:rsidRPr="00345229">
        <w:rPr>
          <w:rFonts w:ascii="Arial" w:hAnsi="Arial" w:cs="Arial"/>
          <w:color w:val="365F91" w:themeColor="accent1" w:themeShade="BF"/>
        </w:rPr>
        <w:t xml:space="preserve"> Directives relatives aux déplacements professionnels </w:t>
      </w:r>
    </w:p>
    <w:p w14:paraId="7C6DA9B5" w14:textId="77777777" w:rsidR="00836C44" w:rsidRPr="00345229" w:rsidRDefault="00836C44" w:rsidP="00836C44">
      <w:pPr>
        <w:pStyle w:val="berschrift1"/>
        <w:keepLines/>
        <w:numPr>
          <w:ilvl w:val="0"/>
          <w:numId w:val="4"/>
        </w:numPr>
        <w:spacing w:before="480" w:after="0"/>
        <w:rPr>
          <w:rFonts w:cs="Arial"/>
        </w:rPr>
      </w:pPr>
      <w:bookmarkStart w:id="7" w:name="TR_NXT_84"/>
      <w:bookmarkEnd w:id="7"/>
      <w:r w:rsidRPr="00345229">
        <w:rPr>
          <w:rFonts w:cs="Arial"/>
        </w:rPr>
        <w:t>Principes de base</w:t>
      </w:r>
    </w:p>
    <w:p w14:paraId="16148842" w14:textId="77777777" w:rsidR="00836C44" w:rsidRPr="00345229" w:rsidRDefault="00836C44" w:rsidP="00836C44">
      <w:pPr>
        <w:jc w:val="both"/>
        <w:rPr>
          <w:color w:val="000000" w:themeColor="text1"/>
        </w:rPr>
      </w:pPr>
    </w:p>
    <w:p w14:paraId="2CBBF710" w14:textId="77777777" w:rsidR="00836C44" w:rsidRPr="00345229" w:rsidRDefault="00836C44" w:rsidP="00836C44">
      <w:pPr>
        <w:jc w:val="both"/>
        <w:rPr>
          <w:color w:val="000000" w:themeColor="text1"/>
        </w:rPr>
      </w:pPr>
      <w:bookmarkStart w:id="8" w:name="TR_NXT_90"/>
      <w:bookmarkEnd w:id="8"/>
      <w:r w:rsidRPr="00345229">
        <w:rPr>
          <w:color w:val="000000" w:themeColor="text1"/>
        </w:rPr>
        <w:t xml:space="preserve">Le service des achats est responsable de l’acquisition économique des prestations de services externes liées aux déplacements professionnels en Suisse et à l’étranger. Le </w:t>
      </w:r>
      <w:r w:rsidRPr="00345229">
        <w:rPr>
          <w:i/>
          <w:color w:val="000000" w:themeColor="text1"/>
        </w:rPr>
        <w:t>service XXX</w:t>
      </w:r>
      <w:r w:rsidRPr="00345229">
        <w:rPr>
          <w:color w:val="000000" w:themeColor="text1"/>
        </w:rPr>
        <w:t xml:space="preserve"> se charge de la réservation de ces voyages d’affaires.</w:t>
      </w:r>
    </w:p>
    <w:p w14:paraId="4201E54C" w14:textId="77777777" w:rsidR="00836C44" w:rsidRPr="00345229" w:rsidRDefault="00836C44" w:rsidP="00836C44">
      <w:pPr>
        <w:pStyle w:val="berschrift1"/>
        <w:keepLines/>
        <w:numPr>
          <w:ilvl w:val="0"/>
          <w:numId w:val="4"/>
        </w:numPr>
        <w:spacing w:before="480" w:after="0"/>
        <w:rPr>
          <w:rFonts w:cs="Arial"/>
        </w:rPr>
      </w:pPr>
      <w:bookmarkStart w:id="9" w:name="TR_NXT_95"/>
      <w:bookmarkEnd w:id="9"/>
      <w:r w:rsidRPr="00345229">
        <w:rPr>
          <w:rFonts w:cs="Arial"/>
        </w:rPr>
        <w:t>Champ d’application</w:t>
      </w:r>
    </w:p>
    <w:p w14:paraId="5DC66F32" w14:textId="77777777" w:rsidR="00836C44" w:rsidRPr="00345229" w:rsidRDefault="00836C44" w:rsidP="00836C44">
      <w:pPr>
        <w:jc w:val="both"/>
        <w:rPr>
          <w:color w:val="000000" w:themeColor="text1"/>
        </w:rPr>
      </w:pPr>
    </w:p>
    <w:p w14:paraId="20A4C228" w14:textId="77777777" w:rsidR="00836C44" w:rsidRPr="00345229" w:rsidRDefault="00836C44" w:rsidP="00836C44">
      <w:pPr>
        <w:jc w:val="both"/>
        <w:rPr>
          <w:color w:val="000000" w:themeColor="text1"/>
        </w:rPr>
      </w:pPr>
      <w:bookmarkStart w:id="10" w:name="TR_NXT_98"/>
      <w:bookmarkEnd w:id="10"/>
      <w:r w:rsidRPr="00345229">
        <w:rPr>
          <w:color w:val="000000" w:themeColor="text1"/>
        </w:rPr>
        <w:t>La présente directive s’applique à toutes les unités de l’entreprise concernées par des déplacements professionnels:</w:t>
      </w:r>
    </w:p>
    <w:p w14:paraId="6BB94F12" w14:textId="77777777" w:rsidR="00836C44" w:rsidRPr="00345229" w:rsidRDefault="00836C44" w:rsidP="00836C44">
      <w:pPr>
        <w:pStyle w:val="Listenabsatz"/>
        <w:numPr>
          <w:ilvl w:val="0"/>
          <w:numId w:val="2"/>
        </w:numPr>
        <w:jc w:val="both"/>
        <w:rPr>
          <w:i/>
          <w:color w:val="000000" w:themeColor="text1"/>
        </w:rPr>
      </w:pPr>
      <w:r w:rsidRPr="00345229">
        <w:rPr>
          <w:i/>
          <w:color w:val="000000" w:themeColor="text1"/>
        </w:rPr>
        <w:t>le service XXX;</w:t>
      </w:r>
    </w:p>
    <w:p w14:paraId="3F1B5DE0" w14:textId="77777777" w:rsidR="00836C44" w:rsidRPr="00345229" w:rsidRDefault="00836C44" w:rsidP="00836C44">
      <w:pPr>
        <w:pStyle w:val="Listenabsatz"/>
        <w:numPr>
          <w:ilvl w:val="0"/>
          <w:numId w:val="2"/>
        </w:numPr>
        <w:jc w:val="both"/>
        <w:rPr>
          <w:i/>
          <w:color w:val="000000" w:themeColor="text1"/>
        </w:rPr>
      </w:pPr>
      <w:r w:rsidRPr="00345229">
        <w:rPr>
          <w:i/>
          <w:color w:val="000000" w:themeColor="text1"/>
        </w:rPr>
        <w:t>le service XYZ;</w:t>
      </w:r>
    </w:p>
    <w:p w14:paraId="17ED296D" w14:textId="77777777" w:rsidR="00836C44" w:rsidRPr="00345229" w:rsidRDefault="00836C44" w:rsidP="00836C44">
      <w:pPr>
        <w:pStyle w:val="Listenabsatz"/>
        <w:numPr>
          <w:ilvl w:val="0"/>
          <w:numId w:val="2"/>
        </w:numPr>
        <w:jc w:val="both"/>
        <w:rPr>
          <w:color w:val="000000" w:themeColor="text1"/>
        </w:rPr>
      </w:pPr>
      <w:r w:rsidRPr="00345229">
        <w:rPr>
          <w:i/>
          <w:color w:val="000000" w:themeColor="text1"/>
        </w:rPr>
        <w:t>ses entreprises communes (coentreprise égalitaire) dans la limite des conventions conclues.</w:t>
      </w:r>
    </w:p>
    <w:p w14:paraId="005B0648" w14:textId="77777777" w:rsidR="00836C44" w:rsidRPr="00345229" w:rsidRDefault="00836C44" w:rsidP="00836C44">
      <w:pPr>
        <w:jc w:val="both"/>
        <w:rPr>
          <w:color w:val="000000" w:themeColor="text1"/>
        </w:rPr>
      </w:pPr>
    </w:p>
    <w:p w14:paraId="3F0C96CD" w14:textId="77777777" w:rsidR="00836C44" w:rsidRPr="00345229" w:rsidRDefault="00836C44" w:rsidP="00836C44">
      <w:pPr>
        <w:jc w:val="both"/>
        <w:rPr>
          <w:color w:val="000000" w:themeColor="text1"/>
        </w:rPr>
      </w:pPr>
      <w:bookmarkStart w:id="11" w:name="TR_NXT_111"/>
      <w:bookmarkEnd w:id="11"/>
      <w:r w:rsidRPr="00345229">
        <w:rPr>
          <w:color w:val="000000" w:themeColor="text1"/>
        </w:rPr>
        <w:t>Elle s’applique aux:</w:t>
      </w:r>
    </w:p>
    <w:p w14:paraId="61021B7A" w14:textId="77777777" w:rsidR="00836C44" w:rsidRPr="00345229" w:rsidRDefault="00836C44" w:rsidP="00836C44">
      <w:pPr>
        <w:pStyle w:val="Listenabsatz"/>
        <w:numPr>
          <w:ilvl w:val="0"/>
          <w:numId w:val="3"/>
        </w:numPr>
        <w:jc w:val="both"/>
        <w:rPr>
          <w:color w:val="000000" w:themeColor="text1"/>
        </w:rPr>
      </w:pPr>
      <w:r w:rsidRPr="00345229">
        <w:rPr>
          <w:color w:val="000000" w:themeColor="text1"/>
        </w:rPr>
        <w:t>déplacements en train;</w:t>
      </w:r>
    </w:p>
    <w:p w14:paraId="28E4F9DA" w14:textId="65C10F59" w:rsidR="00836C44" w:rsidRPr="00345229" w:rsidRDefault="00836C44" w:rsidP="00836C44">
      <w:pPr>
        <w:pStyle w:val="Listenabsatz"/>
        <w:numPr>
          <w:ilvl w:val="0"/>
          <w:numId w:val="3"/>
        </w:numPr>
        <w:jc w:val="both"/>
        <w:rPr>
          <w:color w:val="000000" w:themeColor="text1"/>
        </w:rPr>
      </w:pPr>
      <w:r w:rsidRPr="00345229">
        <w:rPr>
          <w:color w:val="000000" w:themeColor="text1"/>
        </w:rPr>
        <w:t>vols</w:t>
      </w:r>
      <w:r w:rsidR="00D54CC0">
        <w:rPr>
          <w:color w:val="000000" w:themeColor="text1"/>
        </w:rPr>
        <w:t>;</w:t>
      </w:r>
    </w:p>
    <w:p w14:paraId="7351F490" w14:textId="77777777" w:rsidR="00836C44" w:rsidRPr="00345229" w:rsidRDefault="00836C44" w:rsidP="00836C44">
      <w:pPr>
        <w:pStyle w:val="Listenabsatz"/>
        <w:numPr>
          <w:ilvl w:val="0"/>
          <w:numId w:val="3"/>
        </w:numPr>
        <w:jc w:val="both"/>
        <w:rPr>
          <w:color w:val="000000" w:themeColor="text1"/>
        </w:rPr>
      </w:pPr>
      <w:r w:rsidRPr="00345229">
        <w:rPr>
          <w:color w:val="000000" w:themeColor="text1"/>
        </w:rPr>
        <w:t>nuitées à l’hôtel;</w:t>
      </w:r>
    </w:p>
    <w:p w14:paraId="2A202662" w14:textId="77777777" w:rsidR="00836C44" w:rsidRPr="00345229" w:rsidRDefault="00836C44" w:rsidP="00836C44">
      <w:pPr>
        <w:pStyle w:val="Listenabsatz"/>
        <w:numPr>
          <w:ilvl w:val="0"/>
          <w:numId w:val="3"/>
        </w:numPr>
        <w:jc w:val="both"/>
        <w:rPr>
          <w:color w:val="000000" w:themeColor="text1"/>
        </w:rPr>
      </w:pPr>
      <w:r w:rsidRPr="00345229">
        <w:rPr>
          <w:color w:val="000000" w:themeColor="text1"/>
        </w:rPr>
        <w:t>voitures de location.</w:t>
      </w:r>
    </w:p>
    <w:p w14:paraId="2E6D5100" w14:textId="77777777" w:rsidR="00836C44" w:rsidRPr="00345229" w:rsidRDefault="00836C44" w:rsidP="00836C44">
      <w:pPr>
        <w:pStyle w:val="berschrift1"/>
        <w:keepLines/>
        <w:numPr>
          <w:ilvl w:val="0"/>
          <w:numId w:val="4"/>
        </w:numPr>
        <w:spacing w:before="480" w:after="0"/>
        <w:rPr>
          <w:rFonts w:cs="Arial"/>
        </w:rPr>
      </w:pPr>
      <w:bookmarkStart w:id="12" w:name="TR_NXT_121"/>
      <w:bookmarkEnd w:id="12"/>
      <w:r w:rsidRPr="00345229">
        <w:rPr>
          <w:rFonts w:cs="Arial"/>
        </w:rPr>
        <w:t>Buts et objectifs</w:t>
      </w:r>
    </w:p>
    <w:p w14:paraId="32C926D9" w14:textId="77777777" w:rsidR="00836C44" w:rsidRPr="00345229" w:rsidRDefault="00836C44" w:rsidP="00836C44">
      <w:pPr>
        <w:jc w:val="both"/>
        <w:rPr>
          <w:color w:val="000000" w:themeColor="text1"/>
        </w:rPr>
      </w:pPr>
    </w:p>
    <w:p w14:paraId="69E40EFF" w14:textId="76080D83" w:rsidR="00836C44" w:rsidRPr="00345229" w:rsidRDefault="00836C44" w:rsidP="00836C44">
      <w:pPr>
        <w:jc w:val="both"/>
        <w:rPr>
          <w:color w:val="000000" w:themeColor="text1"/>
        </w:rPr>
      </w:pPr>
      <w:bookmarkStart w:id="13" w:name="TR_NXT_124"/>
      <w:bookmarkEnd w:id="13"/>
      <w:r w:rsidRPr="00345229">
        <w:rPr>
          <w:color w:val="000000" w:themeColor="text1"/>
        </w:rPr>
        <w:t>La présente directive règle la procédure à suivre pour commander les prestations de service requises en cas de voyages d’affaires en Suisse et à l’étranger. La directive a pour objectif de garantir une acquisition économique des prestations de service</w:t>
      </w:r>
      <w:r w:rsidR="00035C32">
        <w:rPr>
          <w:color w:val="000000" w:themeColor="text1"/>
        </w:rPr>
        <w:t xml:space="preserve"> et</w:t>
      </w:r>
      <w:r w:rsidRPr="00345229">
        <w:rPr>
          <w:color w:val="000000" w:themeColor="text1"/>
        </w:rPr>
        <w:t xml:space="preserve"> </w:t>
      </w:r>
      <w:r w:rsidR="00035C32" w:rsidRPr="00035C32">
        <w:rPr>
          <w:color w:val="000000" w:themeColor="text1"/>
        </w:rPr>
        <w:t xml:space="preserve">de simplifier les commandes </w:t>
      </w:r>
      <w:r w:rsidRPr="00345229">
        <w:rPr>
          <w:color w:val="000000" w:themeColor="text1"/>
        </w:rPr>
        <w:t xml:space="preserve">pour les utilisatrices et utilisateurs. </w:t>
      </w:r>
    </w:p>
    <w:p w14:paraId="6D20475E" w14:textId="77777777" w:rsidR="00836C44" w:rsidRPr="00345229" w:rsidRDefault="00836C44" w:rsidP="00836C44">
      <w:pPr>
        <w:pStyle w:val="berschrift1"/>
        <w:keepLines/>
        <w:numPr>
          <w:ilvl w:val="0"/>
          <w:numId w:val="4"/>
        </w:numPr>
        <w:spacing w:before="480" w:after="0"/>
        <w:rPr>
          <w:rFonts w:cs="Arial"/>
        </w:rPr>
      </w:pPr>
      <w:bookmarkStart w:id="14" w:name="TR_NXT_126"/>
      <w:bookmarkEnd w:id="14"/>
      <w:r w:rsidRPr="00345229">
        <w:rPr>
          <w:rFonts w:cs="Arial"/>
        </w:rPr>
        <w:t>Approbation du déplacement</w:t>
      </w:r>
    </w:p>
    <w:p w14:paraId="0A5ECF39" w14:textId="77777777" w:rsidR="00836C44" w:rsidRPr="00345229" w:rsidRDefault="00836C44" w:rsidP="00836C44">
      <w:pPr>
        <w:jc w:val="both"/>
        <w:rPr>
          <w:color w:val="000000" w:themeColor="text1"/>
        </w:rPr>
      </w:pPr>
    </w:p>
    <w:p w14:paraId="72406ABC" w14:textId="77777777" w:rsidR="00836C44" w:rsidRPr="00345229" w:rsidRDefault="00836C44" w:rsidP="00836C44">
      <w:pPr>
        <w:jc w:val="both"/>
        <w:rPr>
          <w:color w:val="000000" w:themeColor="text1"/>
        </w:rPr>
      </w:pPr>
      <w:bookmarkStart w:id="15" w:name="TR_NXT_129"/>
      <w:bookmarkEnd w:id="15"/>
      <w:r w:rsidRPr="00345229">
        <w:rPr>
          <w:color w:val="000000" w:themeColor="text1"/>
        </w:rPr>
        <w:t>La planification et la réalisation de voyages d’affaires à l’étranger doivent faire l’objet d’une concertation avec la hiérarchie compétente et être approuvées par celle-ci. La personne responsable vérifie la nécessité et les modalités de ces déplacements sur la base des objectifs définis.</w:t>
      </w:r>
    </w:p>
    <w:p w14:paraId="2C4BB4DF" w14:textId="77777777" w:rsidR="00836C44" w:rsidRPr="00345229" w:rsidRDefault="00836C44" w:rsidP="00836C44">
      <w:pPr>
        <w:jc w:val="both"/>
        <w:rPr>
          <w:color w:val="000000" w:themeColor="text1"/>
        </w:rPr>
      </w:pPr>
    </w:p>
    <w:p w14:paraId="6F668B2D" w14:textId="77777777" w:rsidR="00836C44" w:rsidRPr="00345229" w:rsidRDefault="00836C44" w:rsidP="00836C44">
      <w:pPr>
        <w:pStyle w:val="berschrift1"/>
        <w:keepLines/>
        <w:numPr>
          <w:ilvl w:val="0"/>
          <w:numId w:val="4"/>
        </w:numPr>
        <w:spacing w:before="480" w:after="0"/>
        <w:rPr>
          <w:rFonts w:cs="Arial"/>
        </w:rPr>
      </w:pPr>
      <w:bookmarkStart w:id="16" w:name="TR_NXT_140"/>
      <w:bookmarkEnd w:id="16"/>
      <w:r w:rsidRPr="00345229">
        <w:rPr>
          <w:rFonts w:cs="Arial"/>
        </w:rPr>
        <w:t>Déplacements professionnels en Suisse</w:t>
      </w:r>
    </w:p>
    <w:p w14:paraId="4BF63814" w14:textId="77777777" w:rsidR="00836C44" w:rsidRPr="00345229" w:rsidRDefault="00836C44" w:rsidP="00836C44">
      <w:pPr>
        <w:jc w:val="both"/>
      </w:pPr>
    </w:p>
    <w:p w14:paraId="6E18B08B" w14:textId="77777777" w:rsidR="00C464D9" w:rsidRPr="00345229" w:rsidRDefault="00C464D9" w:rsidP="00C464D9">
      <w:pPr>
        <w:jc w:val="both"/>
      </w:pPr>
      <w:bookmarkStart w:id="17" w:name="TR_NXT_143"/>
      <w:bookmarkEnd w:id="17"/>
      <w:r w:rsidRPr="00345229">
        <w:lastRenderedPageBreak/>
        <w:t xml:space="preserve">En règle générale, il convient d’utiliser les transports publics pour les déplacements professionnels. </w:t>
      </w:r>
    </w:p>
    <w:p w14:paraId="76B9AA32" w14:textId="59C6E5CA" w:rsidR="008C3CDB" w:rsidRPr="00345229" w:rsidRDefault="00FE3D9F" w:rsidP="00A510CE">
      <w:pPr>
        <w:jc w:val="both"/>
      </w:pPr>
      <w:bookmarkStart w:id="18" w:name="TR_NXT_145"/>
      <w:bookmarkEnd w:id="18"/>
      <w:r w:rsidRPr="00345229">
        <w:t>Tous les collaboratrices et collaborateurs sont autorisés à voyager en 1</w:t>
      </w:r>
      <w:r w:rsidRPr="00345229">
        <w:rPr>
          <w:vertAlign w:val="superscript"/>
        </w:rPr>
        <w:t>re</w:t>
      </w:r>
      <w:r w:rsidRPr="00345229">
        <w:t xml:space="preserve"> classe pour leurs déplacements professionnels en train sur le territoire suisse. En cas de besoin, un abonnement demi-tarif personnel est mis à disposition </w:t>
      </w:r>
      <w:r w:rsidRPr="00345229">
        <w:rPr>
          <w:i/>
        </w:rPr>
        <w:t>(remarque: il n’est pas nécessaire de faire figurer les abonnements demi-tarif sur le certificat de salaire).</w:t>
      </w:r>
    </w:p>
    <w:p w14:paraId="3FD2457C" w14:textId="2DFB5E3E" w:rsidR="00836C44" w:rsidRPr="00345229" w:rsidRDefault="00FE3D9F" w:rsidP="00A510CE">
      <w:pPr>
        <w:jc w:val="both"/>
      </w:pPr>
      <w:bookmarkStart w:id="19" w:name="TR_NXT_154"/>
      <w:bookmarkEnd w:id="19"/>
      <w:r w:rsidRPr="00345229">
        <w:t xml:space="preserve">Un abonnement général peut être délivré aux personnes qui voyagent souvent en train pour des raisons professionnelles </w:t>
      </w:r>
      <w:r w:rsidRPr="00345229">
        <w:rPr>
          <w:i/>
        </w:rPr>
        <w:t xml:space="preserve">(remarque: dès lors qu’un abonnement général est également utilisé à titre professionnel, il n’est pas pris en compte dans le certificat de salaire, mais la case «F – Transport gratuit entre le domicile et le lieu </w:t>
      </w:r>
      <w:r w:rsidR="001D2F99">
        <w:rPr>
          <w:i/>
        </w:rPr>
        <w:t>d</w:t>
      </w:r>
      <w:r w:rsidRPr="00345229">
        <w:rPr>
          <w:i/>
        </w:rPr>
        <w:t>e travail» doit être cochée)</w:t>
      </w:r>
      <w:r w:rsidRPr="00345229">
        <w:t>.</w:t>
      </w:r>
    </w:p>
    <w:p w14:paraId="00C0874F" w14:textId="77777777" w:rsidR="00836C44" w:rsidRPr="00345229" w:rsidRDefault="00836C44" w:rsidP="00836C44">
      <w:pPr>
        <w:pStyle w:val="berschrift1"/>
        <w:keepLines/>
        <w:numPr>
          <w:ilvl w:val="0"/>
          <w:numId w:val="4"/>
        </w:numPr>
        <w:spacing w:before="480" w:after="0"/>
        <w:rPr>
          <w:rFonts w:cs="Arial"/>
        </w:rPr>
      </w:pPr>
      <w:bookmarkStart w:id="20" w:name="TR_NXT_161"/>
      <w:bookmarkEnd w:id="20"/>
      <w:r w:rsidRPr="00345229">
        <w:rPr>
          <w:rFonts w:cs="Arial"/>
        </w:rPr>
        <w:t>Déplacements professionnels à l’étranger</w:t>
      </w:r>
    </w:p>
    <w:p w14:paraId="02F61709" w14:textId="0299AA35" w:rsidR="00DA4A4F" w:rsidRPr="00345229" w:rsidRDefault="00DA4A4F" w:rsidP="00DA4A4F">
      <w:pPr>
        <w:pStyle w:val="einzug"/>
        <w:spacing w:after="120"/>
        <w:rPr>
          <w:rFonts w:ascii="Arial" w:hAnsi="Arial" w:cs="Arial"/>
          <w:sz w:val="22"/>
          <w:szCs w:val="22"/>
          <w:lang w:val="fr-CH" w:eastAsia="de-CH"/>
        </w:rPr>
      </w:pPr>
      <w:bookmarkStart w:id="21" w:name="TR_NXT_165"/>
      <w:bookmarkEnd w:id="21"/>
      <w:r w:rsidRPr="00345229">
        <w:rPr>
          <w:rFonts w:ascii="Arial" w:hAnsi="Arial" w:cs="Arial"/>
          <w:sz w:val="22"/>
          <w:lang w:val="fr-CH"/>
        </w:rPr>
        <w:t>Pour les voyages d’affaires à l’étranger dont la durée entre les principales gares de départ en Suisse et la gare principale de la destination est inférieure à six heures, il convient d’utiliser le train. Pendant les heures de travail, il est généralement possible de faire valoir le temps passé dans les transports publics comme temps de travail.</w:t>
      </w:r>
    </w:p>
    <w:p w14:paraId="35DE5ED4" w14:textId="3D0F8048" w:rsidR="00DA4A4F" w:rsidRPr="00345229" w:rsidRDefault="00DA4A4F" w:rsidP="00DA4A4F">
      <w:pPr>
        <w:pStyle w:val="einzug"/>
        <w:spacing w:after="120"/>
        <w:rPr>
          <w:rFonts w:ascii="Arial" w:hAnsi="Arial" w:cs="Arial"/>
          <w:sz w:val="22"/>
          <w:szCs w:val="22"/>
          <w:lang w:val="fr-CH" w:eastAsia="de-CH"/>
        </w:rPr>
      </w:pPr>
      <w:bookmarkStart w:id="22" w:name="TR_NXT_175"/>
      <w:bookmarkEnd w:id="22"/>
      <w:r w:rsidRPr="00345229">
        <w:rPr>
          <w:rFonts w:ascii="Arial" w:hAnsi="Arial" w:cs="Arial"/>
          <w:sz w:val="22"/>
          <w:lang w:val="fr-CH"/>
        </w:rPr>
        <w:t>Les voyages en avion sont organisés lorsque le temps du trajet en train entre les principales gares de départ en Suisse et la gare principale de la destination est supérieur à six heures. Dans des cas exceptionnels dûment justifiés, un voyage en avion peut être accordé à la place d’un voyage en train pour un temps de trajet inférieur à six heures.</w:t>
      </w:r>
    </w:p>
    <w:p w14:paraId="2EE8CB74" w14:textId="77777777" w:rsidR="00DA4A4F" w:rsidRPr="00345229" w:rsidRDefault="00DA4A4F" w:rsidP="00DA4A4F">
      <w:pPr>
        <w:pStyle w:val="einzug"/>
        <w:spacing w:before="0" w:after="120" w:line="240" w:lineRule="auto"/>
        <w:rPr>
          <w:rFonts w:ascii="Arial" w:hAnsi="Arial" w:cs="Arial"/>
          <w:sz w:val="20"/>
          <w:lang w:val="fr-CH"/>
        </w:rPr>
      </w:pPr>
    </w:p>
    <w:p w14:paraId="107522A6" w14:textId="43F1F0AF" w:rsidR="00836C44" w:rsidRPr="00345229" w:rsidRDefault="00836C44" w:rsidP="00DA4A4F">
      <w:pPr>
        <w:pStyle w:val="berschrift1"/>
        <w:keepLines/>
        <w:numPr>
          <w:ilvl w:val="0"/>
          <w:numId w:val="4"/>
        </w:numPr>
        <w:spacing w:before="480" w:after="0"/>
        <w:rPr>
          <w:rFonts w:cs="Arial"/>
        </w:rPr>
      </w:pPr>
      <w:bookmarkStart w:id="23" w:name="TR_NXT_184"/>
      <w:bookmarkEnd w:id="23"/>
      <w:r w:rsidRPr="00345229">
        <w:rPr>
          <w:rFonts w:cs="Arial"/>
        </w:rPr>
        <w:t>Processus</w:t>
      </w:r>
    </w:p>
    <w:p w14:paraId="78BF01A2" w14:textId="77777777" w:rsidR="00836C44" w:rsidRPr="00345229" w:rsidRDefault="00836C44" w:rsidP="00836C44">
      <w:pPr>
        <w:pStyle w:val="berschrift2"/>
        <w:keepLines/>
        <w:numPr>
          <w:ilvl w:val="1"/>
          <w:numId w:val="4"/>
        </w:numPr>
        <w:spacing w:before="200" w:after="0"/>
        <w:rPr>
          <w:rFonts w:cs="Arial"/>
          <w:color w:val="365F91" w:themeColor="accent1" w:themeShade="BF"/>
        </w:rPr>
      </w:pPr>
      <w:bookmarkStart w:id="24" w:name="TR_NXT_186"/>
      <w:bookmarkEnd w:id="24"/>
      <w:r w:rsidRPr="00345229">
        <w:rPr>
          <w:rFonts w:cs="Arial"/>
          <w:color w:val="365F91" w:themeColor="accent1" w:themeShade="BF"/>
        </w:rPr>
        <w:t>Principe</w:t>
      </w:r>
    </w:p>
    <w:p w14:paraId="52AEA10E" w14:textId="77777777" w:rsidR="00836C44" w:rsidRPr="00345229" w:rsidRDefault="00836C44" w:rsidP="00836C44">
      <w:pPr>
        <w:jc w:val="both"/>
        <w:rPr>
          <w:color w:val="000000" w:themeColor="text1"/>
        </w:rPr>
      </w:pPr>
    </w:p>
    <w:p w14:paraId="10658402" w14:textId="152A1B76" w:rsidR="00836C44" w:rsidRPr="00345229" w:rsidRDefault="00836C44" w:rsidP="00836C44">
      <w:pPr>
        <w:jc w:val="both"/>
        <w:rPr>
          <w:color w:val="000000" w:themeColor="text1"/>
        </w:rPr>
      </w:pPr>
      <w:bookmarkStart w:id="25" w:name="TR_NXT_192"/>
      <w:bookmarkEnd w:id="25"/>
      <w:r w:rsidRPr="00345229">
        <w:rPr>
          <w:color w:val="000000" w:themeColor="text1"/>
        </w:rPr>
        <w:t xml:space="preserve">Les voyages en train et en avion ainsi que les nuitées à l’hôtel et les voitures de location pour les déplacements professionnels doivent être réservés exclusivement par le </w:t>
      </w:r>
      <w:r w:rsidRPr="00345229">
        <w:rPr>
          <w:i/>
          <w:color w:val="000000" w:themeColor="text1"/>
        </w:rPr>
        <w:t>service XXX</w:t>
      </w:r>
      <w:r w:rsidRPr="00345229">
        <w:rPr>
          <w:color w:val="000000" w:themeColor="text1"/>
        </w:rPr>
        <w:t>, à l’exception des déplacements urgents ou de dernière minute. Ce service veille à réserver les prestations les plus économiques et les plus durables possible, dans le respect des conditions-cadres et des prescriptions données par le commanditaire.</w:t>
      </w:r>
    </w:p>
    <w:p w14:paraId="2186061D" w14:textId="77777777" w:rsidR="00836C44" w:rsidRPr="00345229" w:rsidRDefault="00836C44" w:rsidP="00836C44">
      <w:pPr>
        <w:jc w:val="both"/>
        <w:rPr>
          <w:color w:val="000000" w:themeColor="text1"/>
        </w:rPr>
      </w:pPr>
    </w:p>
    <w:p w14:paraId="2DA541A8" w14:textId="77777777" w:rsidR="00836C44" w:rsidRPr="00345229" w:rsidRDefault="00836C44" w:rsidP="00836C44">
      <w:pPr>
        <w:pStyle w:val="berschrift2"/>
        <w:keepLines/>
        <w:numPr>
          <w:ilvl w:val="1"/>
          <w:numId w:val="4"/>
        </w:numPr>
        <w:spacing w:before="200" w:after="0"/>
        <w:rPr>
          <w:rFonts w:cs="Arial"/>
          <w:color w:val="365F91" w:themeColor="accent1" w:themeShade="BF"/>
        </w:rPr>
      </w:pPr>
      <w:bookmarkStart w:id="26" w:name="TR_NXT_201"/>
      <w:bookmarkEnd w:id="26"/>
      <w:r w:rsidRPr="00345229">
        <w:rPr>
          <w:rFonts w:cs="Arial"/>
          <w:color w:val="365F91" w:themeColor="accent1" w:themeShade="BF"/>
        </w:rPr>
        <w:t>Procédure de commande</w:t>
      </w:r>
    </w:p>
    <w:p w14:paraId="37D48992" w14:textId="77777777" w:rsidR="00836C44" w:rsidRPr="00345229" w:rsidRDefault="00836C44" w:rsidP="00836C44">
      <w:pPr>
        <w:jc w:val="both"/>
        <w:rPr>
          <w:color w:val="000000" w:themeColor="text1"/>
        </w:rPr>
      </w:pPr>
    </w:p>
    <w:p w14:paraId="308580FD" w14:textId="748418D3" w:rsidR="00885BC1" w:rsidRPr="00345229" w:rsidRDefault="00836C44" w:rsidP="00836C44">
      <w:pPr>
        <w:jc w:val="both"/>
        <w:rPr>
          <w:color w:val="000000" w:themeColor="text1"/>
        </w:rPr>
      </w:pPr>
      <w:bookmarkStart w:id="27" w:name="TR_NXT_204"/>
      <w:bookmarkEnd w:id="27"/>
      <w:r w:rsidRPr="00345229">
        <w:rPr>
          <w:color w:val="000000" w:themeColor="text1"/>
        </w:rPr>
        <w:t xml:space="preserve">Les collaboratrices et collaborateurs passent les commandes en ligne sur le site </w:t>
      </w:r>
      <w:hyperlink r:id="rId10" w:history="1">
        <w:r w:rsidRPr="00345229">
          <w:rPr>
            <w:rStyle w:val="Hyperlink"/>
          </w:rPr>
          <w:t>Businesstravel CFF</w:t>
        </w:r>
      </w:hyperlink>
      <w:r w:rsidRPr="00345229">
        <w:rPr>
          <w:color w:val="000000" w:themeColor="text1"/>
        </w:rPr>
        <w:t xml:space="preserve"> ou dans l’appli Mobile CFF. À cet effet, ils ont besoin d’un compte SwissPass personnel </w:t>
      </w:r>
      <w:r w:rsidRPr="00345229">
        <w:rPr>
          <w:rFonts w:ascii="Wingdings" w:eastAsia="Wingdings" w:hAnsi="Wingdings" w:cs="Wingdings"/>
          <w:color w:val="000000" w:themeColor="text1"/>
        </w:rPr>
        <w:t>à</w:t>
      </w:r>
      <w:r w:rsidRPr="00345229">
        <w:rPr>
          <w:color w:val="000000" w:themeColor="text1"/>
        </w:rPr>
        <w:t xml:space="preserve"> </w:t>
      </w:r>
      <w:hyperlink r:id="rId11">
        <w:r w:rsidRPr="00345229">
          <w:rPr>
            <w:rStyle w:val="Hyperlink"/>
          </w:rPr>
          <w:t>www.swisspass.ch</w:t>
        </w:r>
      </w:hyperlink>
      <w:r w:rsidRPr="00345229">
        <w:rPr>
          <w:color w:val="000000" w:themeColor="text1"/>
        </w:rPr>
        <w:t xml:space="preserve"> et du numéro de contrat de notre compte Businesstravel CFF. Ce numéro de contrat peut être obtenu auprès du </w:t>
      </w:r>
      <w:r w:rsidRPr="00345229">
        <w:rPr>
          <w:i/>
          <w:color w:val="000000" w:themeColor="text1"/>
        </w:rPr>
        <w:t xml:space="preserve">service XXX. </w:t>
      </w:r>
      <w:r w:rsidRPr="00345229">
        <w:rPr>
          <w:color w:val="000000" w:themeColor="text1"/>
        </w:rPr>
        <w:t>Afin de pouvoir acheter des billets professionnels dans l’appli Mobile CFF, vous devez vous déconnecter de l’application, puis vous reconnecter avec votre compte SwissPass.</w:t>
      </w:r>
    </w:p>
    <w:p w14:paraId="6FAE8113" w14:textId="57B932FA" w:rsidR="00836C44" w:rsidRPr="00345229" w:rsidRDefault="00885BC1" w:rsidP="00836C44">
      <w:pPr>
        <w:jc w:val="both"/>
        <w:rPr>
          <w:color w:val="000000" w:themeColor="text1"/>
        </w:rPr>
      </w:pPr>
      <w:bookmarkStart w:id="28" w:name="TR_NXT_227"/>
      <w:bookmarkEnd w:id="28"/>
      <w:r w:rsidRPr="00345229">
        <w:rPr>
          <w:color w:val="000000" w:themeColor="text1"/>
        </w:rPr>
        <w:t>Veuillez éviter d’acheter des billets à titre personnel et de vous les faire rembourser par le biais du décompte des frais, car les données n’apparaîtront alors pas dans le reporting carbone/le rapport d’émissions et l’entreprise ne pourra pas bénéficier d’une éventuelle réduction à cet égard.</w:t>
      </w:r>
    </w:p>
    <w:p w14:paraId="4E788613" w14:textId="77777777" w:rsidR="00836C44" w:rsidRPr="00345229" w:rsidRDefault="00836C44" w:rsidP="00836C44">
      <w:pPr>
        <w:jc w:val="both"/>
        <w:rPr>
          <w:color w:val="000000" w:themeColor="text1"/>
        </w:rPr>
      </w:pPr>
    </w:p>
    <w:p w14:paraId="00BC634B" w14:textId="77777777" w:rsidR="00836C44" w:rsidRPr="00345229" w:rsidRDefault="00836C44" w:rsidP="00836C44">
      <w:pPr>
        <w:jc w:val="both"/>
        <w:rPr>
          <w:color w:val="000000" w:themeColor="text1"/>
        </w:rPr>
      </w:pPr>
      <w:bookmarkStart w:id="29" w:name="TR_NXT_234"/>
      <w:bookmarkEnd w:id="29"/>
      <w:r w:rsidRPr="00345229">
        <w:rPr>
          <w:color w:val="000000" w:themeColor="text1"/>
        </w:rPr>
        <w:t xml:space="preserve">Afin de pouvoir procéder aux réservations, </w:t>
      </w:r>
      <w:r w:rsidRPr="00345229">
        <w:rPr>
          <w:i/>
          <w:color w:val="000000" w:themeColor="text1"/>
        </w:rPr>
        <w:t>le service de réservation</w:t>
      </w:r>
      <w:r w:rsidRPr="00345229">
        <w:rPr>
          <w:color w:val="000000" w:themeColor="text1"/>
        </w:rPr>
        <w:t xml:space="preserve"> a besoin de toutes les informations relatives au déplacement, à la personne qui voyage et au mode de paiement souhaité pour le débit des frais. </w:t>
      </w:r>
    </w:p>
    <w:p w14:paraId="5639E64C" w14:textId="1F5B298C" w:rsidR="00836C44" w:rsidRPr="00345229" w:rsidRDefault="00836C44" w:rsidP="00836C44">
      <w:pPr>
        <w:jc w:val="both"/>
        <w:rPr>
          <w:color w:val="000000" w:themeColor="text1"/>
        </w:rPr>
      </w:pPr>
      <w:bookmarkStart w:id="30" w:name="TR_NXT_240"/>
      <w:bookmarkEnd w:id="30"/>
      <w:r w:rsidRPr="00345229">
        <w:rPr>
          <w:color w:val="000000" w:themeColor="text1"/>
        </w:rPr>
        <w:lastRenderedPageBreak/>
        <w:t xml:space="preserve">Le paiement s’effectue via la </w:t>
      </w:r>
      <w:r w:rsidRPr="00345229">
        <w:rPr>
          <w:i/>
          <w:color w:val="000000" w:themeColor="text1"/>
        </w:rPr>
        <w:t>carte de crédit professionnelle</w:t>
      </w:r>
      <w:r w:rsidRPr="00345229">
        <w:rPr>
          <w:color w:val="000000" w:themeColor="text1"/>
        </w:rPr>
        <w:t>, le centre de coût ou un numéro d’ordre. Les prestations peuvent être payées directement auprès du prestataire concerné, selon le type de réservation (système de réservation d’hôtel, gestionnaire de voyages d’affaires, Businesstravel CFF</w:t>
      </w:r>
      <w:r w:rsidR="00220EA4">
        <w:rPr>
          <w:color w:val="000000" w:themeColor="text1"/>
        </w:rPr>
        <w:t>,</w:t>
      </w:r>
      <w:r w:rsidRPr="00345229">
        <w:rPr>
          <w:color w:val="000000" w:themeColor="text1"/>
        </w:rPr>
        <w:t xml:space="preserve"> etc.), et le remboursement peut être demandé via le décompte des frais.</w:t>
      </w:r>
    </w:p>
    <w:p w14:paraId="0644D857" w14:textId="77777777" w:rsidR="00836C44" w:rsidRPr="00345229" w:rsidRDefault="00836C44" w:rsidP="00836C44">
      <w:pPr>
        <w:jc w:val="both"/>
        <w:rPr>
          <w:color w:val="000000" w:themeColor="text1"/>
        </w:rPr>
      </w:pPr>
    </w:p>
    <w:p w14:paraId="1A2C41AC" w14:textId="717EB4A4" w:rsidR="00C539DB" w:rsidRPr="00345229" w:rsidRDefault="00836C44" w:rsidP="00836C44">
      <w:pPr>
        <w:jc w:val="both"/>
        <w:rPr>
          <w:color w:val="000000" w:themeColor="text1"/>
        </w:rPr>
      </w:pPr>
      <w:bookmarkStart w:id="31" w:name="TR_NXT_248"/>
      <w:bookmarkEnd w:id="31"/>
      <w:r w:rsidRPr="00345229">
        <w:rPr>
          <w:color w:val="000000" w:themeColor="text1"/>
        </w:rPr>
        <w:t xml:space="preserve">Le </w:t>
      </w:r>
      <w:r w:rsidRPr="00345229">
        <w:rPr>
          <w:i/>
          <w:color w:val="000000" w:themeColor="text1"/>
        </w:rPr>
        <w:t>service de réservation est joignable de XXX à XXX</w:t>
      </w:r>
      <w:r w:rsidRPr="00345229">
        <w:rPr>
          <w:color w:val="000000" w:themeColor="text1"/>
        </w:rPr>
        <w:t>.</w:t>
      </w:r>
    </w:p>
    <w:p w14:paraId="3DE2F73C" w14:textId="3037CF09" w:rsidR="00C539DB" w:rsidRPr="00345229" w:rsidRDefault="00C539DB">
      <w:pPr>
        <w:spacing w:after="200" w:line="276" w:lineRule="auto"/>
        <w:rPr>
          <w:color w:val="000000" w:themeColor="text1"/>
        </w:rPr>
      </w:pPr>
    </w:p>
    <w:p w14:paraId="679B38FE" w14:textId="77777777" w:rsidR="00836C44" w:rsidRPr="00345229" w:rsidRDefault="00836C44" w:rsidP="00836C44">
      <w:pPr>
        <w:pStyle w:val="berschrift1"/>
        <w:keepLines/>
        <w:numPr>
          <w:ilvl w:val="0"/>
          <w:numId w:val="4"/>
        </w:numPr>
        <w:spacing w:before="480" w:after="0"/>
        <w:rPr>
          <w:rFonts w:cs="Arial"/>
        </w:rPr>
      </w:pPr>
      <w:bookmarkStart w:id="32" w:name="TR_NXT_254"/>
      <w:bookmarkEnd w:id="32"/>
      <w:r w:rsidRPr="00345229">
        <w:rPr>
          <w:rFonts w:cs="Arial"/>
        </w:rPr>
        <w:t>Controlling et reporting</w:t>
      </w:r>
    </w:p>
    <w:p w14:paraId="48E64F13" w14:textId="77777777" w:rsidR="00836C44" w:rsidRPr="00345229" w:rsidRDefault="00836C44" w:rsidP="00836C44">
      <w:pPr>
        <w:jc w:val="both"/>
        <w:rPr>
          <w:color w:val="000000" w:themeColor="text1"/>
        </w:rPr>
      </w:pPr>
    </w:p>
    <w:p w14:paraId="46746DD5" w14:textId="77777777" w:rsidR="00836C44" w:rsidRPr="00345229" w:rsidRDefault="00836C44" w:rsidP="00836C44">
      <w:pPr>
        <w:jc w:val="both"/>
        <w:rPr>
          <w:color w:val="000000" w:themeColor="text1"/>
        </w:rPr>
      </w:pPr>
      <w:bookmarkStart w:id="33" w:name="TR_NXT_257"/>
      <w:bookmarkEnd w:id="33"/>
      <w:r w:rsidRPr="00345229">
        <w:rPr>
          <w:color w:val="000000" w:themeColor="text1"/>
        </w:rPr>
        <w:t>Les processus définis dans la présente directive doivent impérativement être respectés.</w:t>
      </w:r>
    </w:p>
    <w:p w14:paraId="7BA66DBA" w14:textId="77777777" w:rsidR="00836C44" w:rsidRPr="00345229" w:rsidRDefault="00836C44" w:rsidP="00836C44">
      <w:pPr>
        <w:jc w:val="both"/>
        <w:rPr>
          <w:color w:val="000000" w:themeColor="text1"/>
        </w:rPr>
      </w:pPr>
    </w:p>
    <w:p w14:paraId="3ACC613F" w14:textId="77777777" w:rsidR="00836C44" w:rsidRPr="00345229" w:rsidRDefault="00836C44" w:rsidP="00836C44">
      <w:pPr>
        <w:jc w:val="both"/>
        <w:rPr>
          <w:color w:val="000000" w:themeColor="text1"/>
        </w:rPr>
      </w:pPr>
      <w:bookmarkStart w:id="34" w:name="TR_NXT_260"/>
      <w:bookmarkEnd w:id="34"/>
      <w:r w:rsidRPr="00345229">
        <w:rPr>
          <w:color w:val="000000" w:themeColor="text1"/>
        </w:rPr>
        <w:t>La réservation directe auprès de prestataires de services (p. ex. sur Internet) est notamment interdite. Tout comportement contraire aux présentes dispositions doit être signalé aux supérieurs concernés.</w:t>
      </w:r>
    </w:p>
    <w:p w14:paraId="4DBB7E49" w14:textId="77777777" w:rsidR="00836C44" w:rsidRPr="00345229" w:rsidRDefault="00836C44" w:rsidP="00836C44">
      <w:pPr>
        <w:jc w:val="both"/>
        <w:rPr>
          <w:color w:val="000000" w:themeColor="text1"/>
        </w:rPr>
      </w:pPr>
    </w:p>
    <w:p w14:paraId="2CE88C8A" w14:textId="77777777" w:rsidR="00836C44" w:rsidRPr="00345229" w:rsidRDefault="00836C44" w:rsidP="00836C44">
      <w:pPr>
        <w:jc w:val="both"/>
        <w:rPr>
          <w:color w:val="000000" w:themeColor="text1"/>
        </w:rPr>
      </w:pPr>
      <w:bookmarkStart w:id="35" w:name="TR_NXT_265"/>
      <w:bookmarkEnd w:id="35"/>
      <w:r w:rsidRPr="00345229">
        <w:rPr>
          <w:i/>
          <w:color w:val="000000" w:themeColor="text1"/>
        </w:rPr>
        <w:t>Le service des achats</w:t>
      </w:r>
      <w:r w:rsidRPr="00345229">
        <w:rPr>
          <w:color w:val="000000" w:themeColor="text1"/>
        </w:rPr>
        <w:t xml:space="preserve"> établit tous les six mois un rapport sur le respect des processus (contrôle des créditeurs), qui est mis à la disposition des </w:t>
      </w:r>
      <w:r w:rsidRPr="00345229">
        <w:rPr>
          <w:i/>
          <w:color w:val="000000" w:themeColor="text1"/>
        </w:rPr>
        <w:t>secteurs d’activité/services</w:t>
      </w:r>
      <w:r w:rsidRPr="00345229">
        <w:rPr>
          <w:color w:val="000000" w:themeColor="text1"/>
        </w:rPr>
        <w:t>.</w:t>
      </w:r>
    </w:p>
    <w:p w14:paraId="706451B0" w14:textId="77777777" w:rsidR="00836C44" w:rsidRPr="00345229" w:rsidRDefault="00836C44" w:rsidP="00836C44">
      <w:pPr>
        <w:pStyle w:val="berschrift1"/>
        <w:keepLines/>
        <w:numPr>
          <w:ilvl w:val="0"/>
          <w:numId w:val="4"/>
        </w:numPr>
        <w:spacing w:before="480" w:after="0"/>
        <w:rPr>
          <w:rFonts w:cs="Arial"/>
        </w:rPr>
      </w:pPr>
      <w:bookmarkStart w:id="36" w:name="TR_NXT_270"/>
      <w:bookmarkEnd w:id="36"/>
      <w:r w:rsidRPr="00345229">
        <w:rPr>
          <w:rFonts w:cs="Arial"/>
        </w:rPr>
        <w:t>Modification et annulation des réservations</w:t>
      </w:r>
    </w:p>
    <w:p w14:paraId="539EB8AF" w14:textId="77777777" w:rsidR="00836C44" w:rsidRPr="00345229" w:rsidRDefault="00836C44" w:rsidP="00836C44">
      <w:pPr>
        <w:rPr>
          <w:i/>
        </w:rPr>
      </w:pPr>
    </w:p>
    <w:p w14:paraId="0B1FF336" w14:textId="07559C1B" w:rsidR="00836C44" w:rsidRPr="00345229" w:rsidRDefault="00836C44" w:rsidP="00836C44">
      <w:pPr>
        <w:rPr>
          <w:i/>
        </w:rPr>
      </w:pPr>
      <w:bookmarkStart w:id="37" w:name="TR_NXT_275"/>
      <w:bookmarkEnd w:id="37"/>
      <w:r w:rsidRPr="00345229">
        <w:rPr>
          <w:i/>
        </w:rPr>
        <w:t xml:space="preserve">En cas de modification ou d’annulation d’une réservation, veuillez toujours contacter le service de réservation (adresse électronique ou numéro de téléphone xxx xxx xxx). </w:t>
      </w:r>
      <w:r w:rsidRPr="00345229">
        <w:t>L’équipe du service s’occupera de tout. Si vous avez effectué la réservation vous-même, veuillez contacter directement le voyagiste.</w:t>
      </w:r>
    </w:p>
    <w:p w14:paraId="63C205BA" w14:textId="77777777" w:rsidR="00836C44" w:rsidRPr="00345229" w:rsidRDefault="00836C44" w:rsidP="00836C44">
      <w:pPr>
        <w:rPr>
          <w:i/>
        </w:rPr>
      </w:pPr>
    </w:p>
    <w:p w14:paraId="1549FF77" w14:textId="0AD4809E" w:rsidR="00836C44" w:rsidRPr="00345229" w:rsidRDefault="00836C44" w:rsidP="6AAB2C27">
      <w:pPr>
        <w:rPr>
          <w:i/>
          <w:iCs/>
        </w:rPr>
      </w:pPr>
      <w:bookmarkStart w:id="38" w:name="TR_NXT_291"/>
      <w:bookmarkEnd w:id="38"/>
      <w:r w:rsidRPr="00345229">
        <w:rPr>
          <w:i/>
        </w:rPr>
        <w:t>Horaires d’ouverture: XXX</w:t>
      </w:r>
    </w:p>
    <w:p w14:paraId="551639C2" w14:textId="77777777" w:rsidR="00836C44" w:rsidRPr="00345229" w:rsidRDefault="00836C44" w:rsidP="00836C44">
      <w:pPr>
        <w:pStyle w:val="Listenabsatz"/>
        <w:rPr>
          <w:i/>
        </w:rPr>
      </w:pPr>
    </w:p>
    <w:p w14:paraId="50B2A49D" w14:textId="77777777" w:rsidR="00836C44" w:rsidRPr="00345229" w:rsidRDefault="004D0475" w:rsidP="00836C44">
      <w:pPr>
        <w:rPr>
          <w:i/>
        </w:rPr>
      </w:pPr>
      <w:bookmarkStart w:id="39" w:name="TR_NXT_295"/>
      <w:bookmarkEnd w:id="39"/>
      <w:r w:rsidRPr="00345229">
        <w:rPr>
          <w:i/>
        </w:rPr>
        <w:t>Cependant, si vous avez des modifications à apporter peu avant le départ, en dehors des horaires d’ouverture, ou si vous êtes déjà en déplacement,</w:t>
      </w:r>
    </w:p>
    <w:p w14:paraId="7061EC68" w14:textId="77777777" w:rsidR="00836C44" w:rsidRPr="00345229" w:rsidRDefault="00836C44" w:rsidP="00836C44">
      <w:pPr>
        <w:pStyle w:val="Listenabsatz"/>
        <w:ind w:left="1080"/>
        <w:rPr>
          <w:i/>
        </w:rPr>
      </w:pPr>
    </w:p>
    <w:p w14:paraId="77B735A8" w14:textId="77777777" w:rsidR="00836C44" w:rsidRPr="00345229" w:rsidRDefault="00836C44" w:rsidP="00836C44">
      <w:pPr>
        <w:pStyle w:val="Listenabsatz"/>
        <w:numPr>
          <w:ilvl w:val="0"/>
          <w:numId w:val="8"/>
        </w:numPr>
        <w:rPr>
          <w:i/>
        </w:rPr>
      </w:pPr>
      <w:r w:rsidRPr="00345229">
        <w:rPr>
          <w:i/>
        </w:rPr>
        <w:t>veuillez contacter directement l’entreprise de chemin de fer ou la compagnie aérienne concernée, l’hôtel réservé ou l’agence de location de voitures.</w:t>
      </w:r>
    </w:p>
    <w:p w14:paraId="4A92732E" w14:textId="77777777" w:rsidR="00836C44" w:rsidRPr="00345229" w:rsidRDefault="00836C44" w:rsidP="00836C44">
      <w:pPr>
        <w:pStyle w:val="Listenabsatz"/>
        <w:ind w:left="1800"/>
        <w:rPr>
          <w:i/>
        </w:rPr>
      </w:pPr>
    </w:p>
    <w:p w14:paraId="6F597D01" w14:textId="77777777" w:rsidR="00836C44" w:rsidRPr="00345229" w:rsidRDefault="00836C44" w:rsidP="59668750">
      <w:pPr>
        <w:pStyle w:val="Listenabsatz"/>
        <w:numPr>
          <w:ilvl w:val="0"/>
          <w:numId w:val="8"/>
        </w:numPr>
        <w:rPr>
          <w:i/>
          <w:iCs/>
          <w:u w:val="single"/>
        </w:rPr>
      </w:pPr>
      <w:r w:rsidRPr="00345229">
        <w:rPr>
          <w:i/>
          <w:u w:val="single"/>
        </w:rPr>
        <w:t>Important:</w:t>
      </w:r>
      <w:r w:rsidRPr="007E4D77">
        <w:rPr>
          <w:i/>
        </w:rPr>
        <w:t xml:space="preserve"> </w:t>
      </w:r>
      <w:r w:rsidRPr="00345229">
        <w:rPr>
          <w:i/>
        </w:rPr>
        <w:t>informez notre service de réservation de toute modification.</w:t>
      </w:r>
    </w:p>
    <w:p w14:paraId="571D92A3" w14:textId="77777777" w:rsidR="00836C44" w:rsidRPr="00345229" w:rsidRDefault="00836C44" w:rsidP="00836C44">
      <w:pPr>
        <w:pStyle w:val="berschrift1"/>
        <w:keepLines/>
        <w:numPr>
          <w:ilvl w:val="0"/>
          <w:numId w:val="4"/>
        </w:numPr>
        <w:spacing w:before="480" w:after="0"/>
        <w:rPr>
          <w:rFonts w:eastAsia="Times New Roman" w:cs="Arial"/>
        </w:rPr>
      </w:pPr>
      <w:bookmarkStart w:id="40" w:name="TR_NXT_321"/>
      <w:bookmarkEnd w:id="40"/>
      <w:r w:rsidRPr="00345229">
        <w:rPr>
          <w:rFonts w:eastAsia="Times New Roman" w:cs="Arial"/>
        </w:rPr>
        <w:t>Frais</w:t>
      </w:r>
    </w:p>
    <w:p w14:paraId="248F5A0C" w14:textId="511CC3D9" w:rsidR="00836C44" w:rsidRPr="00345229" w:rsidRDefault="00DF5E13" w:rsidP="00836C44">
      <w:pPr>
        <w:pStyle w:val="berschrift2"/>
        <w:keepLines/>
        <w:numPr>
          <w:ilvl w:val="1"/>
          <w:numId w:val="4"/>
        </w:numPr>
        <w:spacing w:before="200" w:after="0"/>
        <w:rPr>
          <w:rFonts w:cs="Arial"/>
          <w:color w:val="365F91" w:themeColor="accent1" w:themeShade="BF"/>
        </w:rPr>
      </w:pPr>
      <w:bookmarkStart w:id="41" w:name="TR_NXT_324"/>
      <w:bookmarkEnd w:id="41"/>
      <w:r>
        <w:rPr>
          <w:rFonts w:cs="Arial"/>
          <w:color w:val="365F91" w:themeColor="accent1" w:themeShade="BF"/>
        </w:rPr>
        <w:t xml:space="preserve"> </w:t>
      </w:r>
      <w:r w:rsidR="00836C44" w:rsidRPr="00345229">
        <w:rPr>
          <w:rFonts w:cs="Arial"/>
          <w:color w:val="365F91" w:themeColor="accent1" w:themeShade="BF"/>
        </w:rPr>
        <w:t>Définition de la notion de frais</w:t>
      </w:r>
    </w:p>
    <w:p w14:paraId="2A7E483E" w14:textId="77777777" w:rsidR="00836C44" w:rsidRPr="00345229" w:rsidRDefault="00836C44" w:rsidP="00836C44">
      <w:pPr>
        <w:rPr>
          <w:i/>
        </w:rPr>
      </w:pPr>
    </w:p>
    <w:p w14:paraId="49A629BF" w14:textId="7A526CC8" w:rsidR="00836C44" w:rsidRPr="00345229" w:rsidRDefault="00836C44" w:rsidP="00836C44">
      <w:pPr>
        <w:rPr>
          <w:i/>
        </w:rPr>
      </w:pPr>
      <w:bookmarkStart w:id="42" w:name="TR_NXT_327"/>
      <w:bookmarkEnd w:id="42"/>
      <w:r w:rsidRPr="00345229">
        <w:rPr>
          <w:i/>
        </w:rPr>
        <w:t>Au sens de la présente directive, sont considérés comme</w:t>
      </w:r>
      <w:r w:rsidR="00CF7797">
        <w:rPr>
          <w:i/>
        </w:rPr>
        <w:t xml:space="preserve"> des</w:t>
      </w:r>
      <w:r w:rsidRPr="00345229">
        <w:rPr>
          <w:i/>
        </w:rPr>
        <w:t xml:space="preserve"> frais les dépenses qui sont engagées par les collaboratrices et collaborateurs dans l’exercice direct de leur activité professionnelle</w:t>
      </w:r>
      <w:r w:rsidR="003A07C3">
        <w:rPr>
          <w:i/>
        </w:rPr>
        <w:t>,</w:t>
      </w:r>
      <w:r w:rsidRPr="00345229">
        <w:rPr>
          <w:i/>
        </w:rPr>
        <w:t xml:space="preserve"> dans l’intérêt de l’employeur. Tous les collaborateurs et collaboratrices sont tenus de restreindre leurs dépenses au strict minimum. Les dépenses non nécessaires à l’accomplissement des tâches assignées ne sont pas prises en charge par l’entreprise</w:t>
      </w:r>
      <w:r w:rsidR="00CC7EEC">
        <w:rPr>
          <w:i/>
        </w:rPr>
        <w:t>.</w:t>
      </w:r>
      <w:r w:rsidRPr="00345229">
        <w:rPr>
          <w:i/>
        </w:rPr>
        <w:t xml:space="preserve"> </w:t>
      </w:r>
      <w:r w:rsidRPr="00345229">
        <w:rPr>
          <w:i/>
        </w:rPr>
        <w:br/>
      </w:r>
    </w:p>
    <w:p w14:paraId="069C5936" w14:textId="13B5BC5A" w:rsidR="00836C44" w:rsidRPr="00345229" w:rsidRDefault="00836C44" w:rsidP="00836C44">
      <w:pPr>
        <w:rPr>
          <w:i/>
        </w:rPr>
      </w:pPr>
      <w:bookmarkStart w:id="43" w:name="TR_NXT_333"/>
      <w:bookmarkEnd w:id="43"/>
      <w:r w:rsidRPr="00345229">
        <w:rPr>
          <w:i/>
        </w:rPr>
        <w:t>Le remboursement concerne pour l’essentiel les dépenses suivantes liées à l’activité professionnelle:</w:t>
      </w:r>
      <w:r w:rsidRPr="00345229">
        <w:rPr>
          <w:i/>
        </w:rPr>
        <w:br/>
      </w:r>
    </w:p>
    <w:p w14:paraId="37171168" w14:textId="77777777" w:rsidR="00836C44" w:rsidRPr="00345229" w:rsidRDefault="00836C44" w:rsidP="00836C44">
      <w:pPr>
        <w:pStyle w:val="Listenabsatz"/>
        <w:numPr>
          <w:ilvl w:val="0"/>
          <w:numId w:val="6"/>
        </w:numPr>
        <w:rPr>
          <w:i/>
        </w:rPr>
      </w:pPr>
      <w:r w:rsidRPr="00345229">
        <w:rPr>
          <w:i/>
        </w:rPr>
        <w:t xml:space="preserve">les frais de déplacement; </w:t>
      </w:r>
    </w:p>
    <w:p w14:paraId="0B03A3BE" w14:textId="77777777" w:rsidR="00836C44" w:rsidRPr="00345229" w:rsidRDefault="00836C44" w:rsidP="00836C44">
      <w:pPr>
        <w:pStyle w:val="Listenabsatz"/>
        <w:numPr>
          <w:ilvl w:val="0"/>
          <w:numId w:val="6"/>
        </w:numPr>
        <w:rPr>
          <w:i/>
        </w:rPr>
      </w:pPr>
      <w:r w:rsidRPr="00345229">
        <w:rPr>
          <w:i/>
        </w:rPr>
        <w:lastRenderedPageBreak/>
        <w:t xml:space="preserve">les frais de restauration et d’hébergement; </w:t>
      </w:r>
    </w:p>
    <w:p w14:paraId="25AD6526" w14:textId="77777777" w:rsidR="00836C44" w:rsidRPr="00345229" w:rsidRDefault="00836C44" w:rsidP="00836C44">
      <w:pPr>
        <w:pStyle w:val="Listenabsatz"/>
        <w:numPr>
          <w:ilvl w:val="0"/>
          <w:numId w:val="6"/>
        </w:numPr>
        <w:rPr>
          <w:i/>
        </w:rPr>
      </w:pPr>
      <w:r w:rsidRPr="00345229">
        <w:rPr>
          <w:i/>
        </w:rPr>
        <w:t>les autres dépenses professionnelles.</w:t>
      </w:r>
    </w:p>
    <w:p w14:paraId="080E3455" w14:textId="77777777" w:rsidR="00836C44" w:rsidRPr="00345229" w:rsidRDefault="00836C44" w:rsidP="00836C44"/>
    <w:p w14:paraId="23FA45F8" w14:textId="47241E9B" w:rsidR="00836C44" w:rsidRPr="00345229" w:rsidRDefault="00CD4A0B" w:rsidP="00836C44">
      <w:pPr>
        <w:pStyle w:val="berschrift2"/>
        <w:keepLines/>
        <w:numPr>
          <w:ilvl w:val="1"/>
          <w:numId w:val="4"/>
        </w:numPr>
        <w:spacing w:before="200" w:after="0"/>
        <w:rPr>
          <w:rFonts w:cs="Arial"/>
          <w:color w:val="365F91" w:themeColor="accent1" w:themeShade="BF"/>
        </w:rPr>
      </w:pPr>
      <w:bookmarkStart w:id="44" w:name="TR_NXT_342"/>
      <w:bookmarkEnd w:id="44"/>
      <w:r>
        <w:rPr>
          <w:rFonts w:cs="Arial"/>
          <w:color w:val="365F91" w:themeColor="accent1" w:themeShade="BF"/>
        </w:rPr>
        <w:t xml:space="preserve"> </w:t>
      </w:r>
      <w:r w:rsidR="00C562A7" w:rsidRPr="00C562A7">
        <w:rPr>
          <w:rFonts w:cs="Arial"/>
          <w:color w:val="365F91" w:themeColor="accent1" w:themeShade="BF"/>
        </w:rPr>
        <w:t xml:space="preserve">Déplacements professionnels </w:t>
      </w:r>
      <w:r w:rsidR="00836C44" w:rsidRPr="00345229">
        <w:rPr>
          <w:rFonts w:cs="Arial"/>
          <w:color w:val="365F91" w:themeColor="accent1" w:themeShade="BF"/>
        </w:rPr>
        <w:t>en véhicule motorisé privé ou en taxi</w:t>
      </w:r>
    </w:p>
    <w:p w14:paraId="535B118F" w14:textId="77777777" w:rsidR="00836C44" w:rsidRPr="00345229" w:rsidRDefault="00836C44" w:rsidP="00836C44">
      <w:pPr>
        <w:rPr>
          <w:b/>
        </w:rPr>
      </w:pPr>
    </w:p>
    <w:p w14:paraId="15AEA3F0" w14:textId="45A6BE1F" w:rsidR="00C539DB" w:rsidRPr="00345229" w:rsidRDefault="0037782E" w:rsidP="007520B0">
      <w:bookmarkStart w:id="45" w:name="TR_NXT_347"/>
      <w:bookmarkEnd w:id="45"/>
      <w:r w:rsidRPr="0037782E">
        <w:t>En principe, les transports publics sont privilégiés</w:t>
      </w:r>
      <w:r w:rsidR="00C539DB" w:rsidRPr="00345229">
        <w:t xml:space="preserve">. Les frais d’utilisation du véhicule privé ou les frais de taxi pour un déplacement professionnel ne sont remboursés que s’il en résulte un gain de temps et/ou une économie de coûts substantiels et s’il n’existe aucune </w:t>
      </w:r>
      <w:r w:rsidR="0037351A" w:rsidRPr="0037351A">
        <w:t xml:space="preserve">solution raisonnable </w:t>
      </w:r>
      <w:r w:rsidR="00E16C5E">
        <w:t xml:space="preserve">en </w:t>
      </w:r>
      <w:r w:rsidR="00C539DB" w:rsidRPr="00345229">
        <w:t xml:space="preserve">transports publics. En cas d’utilisation du véhicule privé ou d’un taxi alors qu’il existe de bonnes liaisons de transports publics, seuls les frais correspondant à l’utilisation des transports publics sont remboursés. L’indemnité kilométrique s’élève à </w:t>
      </w:r>
      <w:r w:rsidR="00345229">
        <w:br/>
      </w:r>
      <w:r w:rsidR="00C539DB" w:rsidRPr="00345229">
        <w:t>CHF –.40.</w:t>
      </w:r>
      <w:r w:rsidR="00C539DB" w:rsidRPr="00345229">
        <w:br w:type="page"/>
      </w:r>
    </w:p>
    <w:p w14:paraId="7FE24324" w14:textId="50C9B785" w:rsidR="00836C44" w:rsidRPr="00345229" w:rsidRDefault="00396A50" w:rsidP="00836C44">
      <w:pPr>
        <w:pStyle w:val="berschrift2"/>
        <w:keepLines/>
        <w:numPr>
          <w:ilvl w:val="1"/>
          <w:numId w:val="4"/>
        </w:numPr>
        <w:spacing w:before="200" w:after="0"/>
        <w:rPr>
          <w:rFonts w:cs="Arial"/>
          <w:color w:val="365F91" w:themeColor="accent1" w:themeShade="BF"/>
        </w:rPr>
      </w:pPr>
      <w:bookmarkStart w:id="46" w:name="TR_NXT_352"/>
      <w:bookmarkEnd w:id="46"/>
      <w:r>
        <w:rPr>
          <w:rFonts w:cs="Arial"/>
          <w:color w:val="365F91" w:themeColor="accent1" w:themeShade="BF"/>
        </w:rPr>
        <w:lastRenderedPageBreak/>
        <w:t xml:space="preserve"> </w:t>
      </w:r>
      <w:r w:rsidR="00836C44" w:rsidRPr="00345229">
        <w:rPr>
          <w:rFonts w:cs="Arial"/>
          <w:color w:val="365F91" w:themeColor="accent1" w:themeShade="BF"/>
        </w:rPr>
        <w:t>Frais de restauration et d’hébergement</w:t>
      </w:r>
    </w:p>
    <w:p w14:paraId="2636B34A" w14:textId="28D88434" w:rsidR="00836C44" w:rsidRPr="00345229" w:rsidRDefault="00836C44" w:rsidP="00836C44">
      <w:pPr>
        <w:pStyle w:val="berschrift2"/>
        <w:rPr>
          <w:rFonts w:cs="Arial"/>
          <w:color w:val="365F91" w:themeColor="accent1" w:themeShade="BF"/>
        </w:rPr>
      </w:pPr>
      <w:bookmarkStart w:id="47" w:name="TR_NXT_354"/>
      <w:bookmarkEnd w:id="47"/>
      <w:r w:rsidRPr="001179D5">
        <w:rPr>
          <w:rFonts w:cs="Arial"/>
          <w:b w:val="0"/>
          <w:color w:val="365F91" w:themeColor="accent1" w:themeShade="BF"/>
        </w:rPr>
        <w:t>10.3</w:t>
      </w:r>
      <w:r w:rsidRPr="007E4D77">
        <w:rPr>
          <w:rStyle w:val="berschrift2Zchn"/>
          <w:rFonts w:cs="Arial"/>
          <w:i/>
          <w:color w:val="365F91" w:themeColor="accent1" w:themeShade="BF"/>
        </w:rPr>
        <w:t>.1</w:t>
      </w:r>
      <w:r w:rsidRPr="007E4D77">
        <w:rPr>
          <w:rStyle w:val="berschrift2Zchn"/>
          <w:rFonts w:cs="Arial"/>
          <w:i/>
          <w:iCs/>
          <w:color w:val="365F91" w:themeColor="accent1" w:themeShade="BF"/>
        </w:rPr>
        <w:t>. Repas pris à l’extérieur</w:t>
      </w:r>
    </w:p>
    <w:p w14:paraId="1B88F76D" w14:textId="77777777" w:rsidR="00836C44" w:rsidRPr="00345229" w:rsidRDefault="00836C44" w:rsidP="00836C44"/>
    <w:p w14:paraId="7088C665" w14:textId="43886A4B" w:rsidR="00836C44" w:rsidRPr="00345229" w:rsidRDefault="00836C44" w:rsidP="00836C44">
      <w:bookmarkStart w:id="48" w:name="TR_NXT_359"/>
      <w:bookmarkEnd w:id="48"/>
      <w:r w:rsidRPr="00345229">
        <w:t>Lorsque les collaboratrices et collaborateurs doivent entreprendre un voyage d’affaires ou s’ils sont contraints, pour d’autres motifs, de prendre leurs repas en dehors de leur lieu de travail ou de leur zone d’affectation habituelle, ils ont droit au remboursement de leurs dépenses effectives. Les valeurs indicatives suivantes ne doivent pas être dépassées:</w:t>
      </w:r>
      <w:r w:rsidRPr="00345229">
        <w:br/>
      </w:r>
    </w:p>
    <w:p w14:paraId="4A2FFA91" w14:textId="77777777" w:rsidR="00836C44" w:rsidRPr="00345229" w:rsidRDefault="00836C44" w:rsidP="00836C44">
      <w:pPr>
        <w:pStyle w:val="Listenabsatz"/>
        <w:numPr>
          <w:ilvl w:val="0"/>
          <w:numId w:val="7"/>
        </w:numPr>
      </w:pPr>
      <w:r w:rsidRPr="00345229">
        <w:t>repas de midi: CHF 30.–;</w:t>
      </w:r>
    </w:p>
    <w:p w14:paraId="2DAC597B" w14:textId="5A5AFE5C" w:rsidR="00836C44" w:rsidRPr="00345229" w:rsidRDefault="00836C44" w:rsidP="00836C44">
      <w:pPr>
        <w:pStyle w:val="Listenabsatz"/>
        <w:numPr>
          <w:ilvl w:val="0"/>
          <w:numId w:val="7"/>
        </w:numPr>
      </w:pPr>
      <w:r w:rsidRPr="00345229">
        <w:t>repas du soir (en cas d’hébergement à l’extérieur ou de retour après 20h): CHF 35.–.</w:t>
      </w:r>
    </w:p>
    <w:p w14:paraId="47F17E21" w14:textId="77777777" w:rsidR="00836C44" w:rsidRPr="00345229" w:rsidRDefault="00836C44" w:rsidP="00836C44"/>
    <w:p w14:paraId="1680858B" w14:textId="42E31049" w:rsidR="00D943B4" w:rsidRPr="00345229" w:rsidRDefault="00A510CE" w:rsidP="00836C44">
      <w:bookmarkStart w:id="49" w:name="TR_NXT_382"/>
      <w:bookmarkEnd w:id="49"/>
      <w:r w:rsidRPr="00345229">
        <w:t>Pour les collaboratrices et collaborateurs du service extérieur qui ont principalement travaillé à l’extérieur et bénéficié d’une indemnité pour le repas de midi, une mention correspondante est portée sur le certificat de salaire.</w:t>
      </w:r>
    </w:p>
    <w:p w14:paraId="5B8FD8E5" w14:textId="77777777" w:rsidR="00D943B4" w:rsidRPr="00345229" w:rsidRDefault="00D943B4" w:rsidP="00836C44"/>
    <w:p w14:paraId="3D76537D" w14:textId="67324999" w:rsidR="00836C44" w:rsidRPr="00345229" w:rsidRDefault="00836C44" w:rsidP="00836C44">
      <w:pPr>
        <w:pStyle w:val="berschrift2"/>
        <w:rPr>
          <w:rFonts w:cs="Arial"/>
          <w:b w:val="0"/>
          <w:color w:val="365F91" w:themeColor="accent1" w:themeShade="BF"/>
        </w:rPr>
      </w:pPr>
      <w:bookmarkStart w:id="50" w:name="TR_NXT_385"/>
      <w:bookmarkEnd w:id="50"/>
      <w:r w:rsidRPr="00345229">
        <w:rPr>
          <w:rFonts w:cs="Arial"/>
          <w:b w:val="0"/>
          <w:color w:val="365F91" w:themeColor="accent1" w:themeShade="BF"/>
        </w:rPr>
        <w:t>10.3.2. Repas d’affaires</w:t>
      </w:r>
    </w:p>
    <w:p w14:paraId="7F6DB042" w14:textId="77777777" w:rsidR="00836C44" w:rsidRPr="00345229" w:rsidRDefault="00836C44" w:rsidP="00836C44"/>
    <w:p w14:paraId="2E0FC99E" w14:textId="77777777" w:rsidR="00836C44" w:rsidRPr="00345229" w:rsidRDefault="00836C44" w:rsidP="00836C44">
      <w:bookmarkStart w:id="51" w:name="TR_NXT_388"/>
      <w:bookmarkEnd w:id="51"/>
      <w:r w:rsidRPr="00345229">
        <w:t>Les repas d’affaires pris avec des partenaires commerciaux et les déjeuners de travail partagés avec des collaboratrices et collaborateurs sont, dans la mesure du possible, payés avec la carte de crédit professionnelle. Sinon, les dépenses sont remboursées sur présentation des pièces justificatives.</w:t>
      </w:r>
    </w:p>
    <w:p w14:paraId="2EB66CC5" w14:textId="77777777" w:rsidR="00836C44" w:rsidRPr="00345229" w:rsidRDefault="00836C44" w:rsidP="00836C44"/>
    <w:p w14:paraId="27778827" w14:textId="675C567F" w:rsidR="00836C44" w:rsidRPr="00345229" w:rsidRDefault="00836C44" w:rsidP="00836C44">
      <w:pPr>
        <w:pStyle w:val="berschrift2"/>
        <w:rPr>
          <w:rFonts w:cs="Arial"/>
          <w:b w:val="0"/>
          <w:color w:val="365F91" w:themeColor="accent1" w:themeShade="BF"/>
        </w:rPr>
      </w:pPr>
      <w:bookmarkStart w:id="52" w:name="TR_NXT_395"/>
      <w:bookmarkEnd w:id="52"/>
      <w:r w:rsidRPr="00345229">
        <w:rPr>
          <w:rFonts w:cs="Arial"/>
          <w:b w:val="0"/>
          <w:color w:val="365F91" w:themeColor="accent1" w:themeShade="BF"/>
        </w:rPr>
        <w:t>10.3.3. Frais d’hôtel</w:t>
      </w:r>
    </w:p>
    <w:p w14:paraId="2FAEF7B1" w14:textId="77777777" w:rsidR="00836C44" w:rsidRPr="00345229" w:rsidRDefault="00836C44" w:rsidP="00836C44"/>
    <w:p w14:paraId="66610BA1" w14:textId="77777777" w:rsidR="00836C44" w:rsidRPr="00345229" w:rsidRDefault="00836C44" w:rsidP="00836C44">
      <w:bookmarkStart w:id="53" w:name="TR_NXT_399"/>
      <w:bookmarkEnd w:id="53"/>
      <w:r w:rsidRPr="00345229">
        <w:t>En règle générale, il convient de choisir des hôtels de catégorie moyenne pour les nuitées à l’extérieur. Pour autant que l’intérêt commercial le justifie, un hôtel d’une catégorie supérieure peut être choisi.</w:t>
      </w:r>
    </w:p>
    <w:p w14:paraId="34080085" w14:textId="699761DA" w:rsidR="00836C44" w:rsidRPr="00345229" w:rsidRDefault="00836C44" w:rsidP="00836C44">
      <w:bookmarkStart w:id="54" w:name="TR_NXT_403"/>
      <w:bookmarkEnd w:id="54"/>
      <w:r w:rsidRPr="00345229">
        <w:t>Les nuitées à l’extérieur sont justifiées lorsque le temps de trajet dépasse une heure (en train) ou que la distance est supérieure à 40 km (en voiture) et que la destination serait atteinte après 22h, ainsi que lorsque le travail s’effectue pendant deux jours consécutifs ou plus dans des lieux situés à une distance équivalente du lieu de service.</w:t>
      </w:r>
    </w:p>
    <w:p w14:paraId="3208D0C6" w14:textId="77777777" w:rsidR="00836C44" w:rsidRPr="00345229" w:rsidRDefault="00836C44" w:rsidP="00836C44">
      <w:bookmarkStart w:id="55" w:name="TR_NXT_412"/>
      <w:bookmarkEnd w:id="55"/>
      <w:r w:rsidRPr="00345229">
        <w:t>Les frais d’hôtel effectifs (dans la limite de CHF 200.– par nuitée) sont remboursés sur présentation de l’original de la facture, déduction faite des éventuelles dépenses personnelles (p. ex. appels téléphoniques privés).</w:t>
      </w:r>
    </w:p>
    <w:p w14:paraId="173E0955" w14:textId="77777777" w:rsidR="00836C44" w:rsidRPr="00345229" w:rsidRDefault="00836C44" w:rsidP="00836C44"/>
    <w:p w14:paraId="41F8CDB5" w14:textId="77777777" w:rsidR="00836C44" w:rsidRPr="00345229" w:rsidRDefault="00836C44" w:rsidP="00836C44">
      <w:bookmarkStart w:id="56" w:name="TR_NXT_415"/>
      <w:bookmarkEnd w:id="56"/>
      <w:r w:rsidRPr="00345229">
        <w:t>En cas d’hébergement privé chez des amis, etc., les dépenses effectives pour un cadeau à l’hôte sont remboursées dans la limite de CHF 80.–.</w:t>
      </w:r>
    </w:p>
    <w:p w14:paraId="00F86BB4" w14:textId="5C6F2332" w:rsidR="00836C44" w:rsidRPr="00345229" w:rsidRDefault="00836C44" w:rsidP="00836C44">
      <w:bookmarkStart w:id="57" w:name="TR_NXT_419"/>
      <w:bookmarkEnd w:id="57"/>
      <w:r w:rsidRPr="00345229">
        <w:t>Les voyages d’affaires prolongés et les frais plus élevés doivent faire l’objet d’une concertation préalable avec la ou le responsable de l’unité d’affaires et être approuvés par celui-ci.</w:t>
      </w:r>
    </w:p>
    <w:p w14:paraId="55488ECA" w14:textId="77777777" w:rsidR="00836C44" w:rsidRPr="00345229" w:rsidRDefault="00836C44" w:rsidP="00836C44">
      <w:pPr>
        <w:rPr>
          <w:i/>
        </w:rPr>
      </w:pPr>
    </w:p>
    <w:p w14:paraId="5B9AB047" w14:textId="77777777" w:rsidR="00836C44" w:rsidRPr="00345229" w:rsidRDefault="00836C44" w:rsidP="00836C44">
      <w:pPr>
        <w:pStyle w:val="berschrift2"/>
        <w:rPr>
          <w:rFonts w:cs="Arial"/>
          <w:b w:val="0"/>
          <w:color w:val="365F91" w:themeColor="accent1" w:themeShade="BF"/>
        </w:rPr>
      </w:pPr>
      <w:bookmarkStart w:id="58" w:name="TR_NXT_424"/>
      <w:bookmarkEnd w:id="58"/>
      <w:r w:rsidRPr="00345229">
        <w:rPr>
          <w:rFonts w:cs="Arial"/>
          <w:b w:val="0"/>
          <w:color w:val="365F91" w:themeColor="accent1" w:themeShade="BF"/>
        </w:rPr>
        <w:t>10.3.4 Personnes invitées et privées</w:t>
      </w:r>
    </w:p>
    <w:p w14:paraId="58697161" w14:textId="77777777" w:rsidR="00836C44" w:rsidRPr="00345229" w:rsidRDefault="00836C44" w:rsidP="00836C44">
      <w:pPr>
        <w:rPr>
          <w:i/>
        </w:rPr>
      </w:pPr>
    </w:p>
    <w:p w14:paraId="602F6B0E" w14:textId="51893F80" w:rsidR="008C3CDB" w:rsidRPr="00345229" w:rsidRDefault="00836C44" w:rsidP="00836C44">
      <w:pPr>
        <w:rPr>
          <w:i/>
        </w:rPr>
      </w:pPr>
      <w:bookmarkStart w:id="59" w:name="TR_NXT_427"/>
      <w:bookmarkEnd w:id="59"/>
      <w:r w:rsidRPr="00345229">
        <w:rPr>
          <w:i/>
        </w:rPr>
        <w:t>Les mêmes dispositions que pour les collaboratrices et collaborateurs s’appliquent aux frais de transport, d’hôtel, de restauration, etc. occasionnés par des personnes invitées.</w:t>
      </w:r>
    </w:p>
    <w:p w14:paraId="6D8E7D4D" w14:textId="4021DC5B" w:rsidR="00543FBA" w:rsidRPr="001605B4" w:rsidRDefault="00543FBA" w:rsidP="008C3CDB">
      <w:pPr>
        <w:spacing w:after="200" w:line="276" w:lineRule="auto"/>
      </w:pPr>
    </w:p>
    <w:sectPr w:rsidR="00543FBA" w:rsidRPr="001605B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93346" w14:textId="77777777" w:rsidR="00763BFA" w:rsidRPr="00345229" w:rsidRDefault="00763BFA" w:rsidP="00856CB6">
      <w:r w:rsidRPr="00345229">
        <w:separator/>
      </w:r>
    </w:p>
  </w:endnote>
  <w:endnote w:type="continuationSeparator" w:id="0">
    <w:p w14:paraId="664A387E" w14:textId="77777777" w:rsidR="00763BFA" w:rsidRPr="00345229" w:rsidRDefault="00763BFA" w:rsidP="00856CB6">
      <w:r w:rsidRPr="003452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01340" w14:textId="77777777" w:rsidR="00763BFA" w:rsidRPr="00345229" w:rsidRDefault="00763BFA" w:rsidP="00856CB6">
      <w:r w:rsidRPr="00345229">
        <w:separator/>
      </w:r>
    </w:p>
  </w:footnote>
  <w:footnote w:type="continuationSeparator" w:id="0">
    <w:p w14:paraId="2FCE603D" w14:textId="77777777" w:rsidR="00763BFA" w:rsidRPr="00345229" w:rsidRDefault="00763BFA" w:rsidP="00856CB6">
      <w:r w:rsidRPr="0034522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A7C91"/>
    <w:multiLevelType w:val="hybridMultilevel"/>
    <w:tmpl w:val="47944B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3304382"/>
    <w:multiLevelType w:val="hybridMultilevel"/>
    <w:tmpl w:val="00D2C0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4773908"/>
    <w:multiLevelType w:val="hybridMultilevel"/>
    <w:tmpl w:val="386276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53675FD"/>
    <w:multiLevelType w:val="multilevel"/>
    <w:tmpl w:val="9954A9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91426B6"/>
    <w:multiLevelType w:val="hybridMultilevel"/>
    <w:tmpl w:val="89D423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A3C0C3A"/>
    <w:multiLevelType w:val="hybridMultilevel"/>
    <w:tmpl w:val="9D08AD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06658D9"/>
    <w:multiLevelType w:val="hybridMultilevel"/>
    <w:tmpl w:val="C86EBEC0"/>
    <w:lvl w:ilvl="0" w:tplc="7F48631C">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67957F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DD49ED"/>
    <w:multiLevelType w:val="hybridMultilevel"/>
    <w:tmpl w:val="973C45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25616023">
    <w:abstractNumId w:val="7"/>
  </w:num>
  <w:num w:numId="2" w16cid:durableId="311451754">
    <w:abstractNumId w:val="4"/>
  </w:num>
  <w:num w:numId="3" w16cid:durableId="1714423989">
    <w:abstractNumId w:val="5"/>
  </w:num>
  <w:num w:numId="4" w16cid:durableId="578369293">
    <w:abstractNumId w:val="3"/>
  </w:num>
  <w:num w:numId="5" w16cid:durableId="1347711627">
    <w:abstractNumId w:val="6"/>
  </w:num>
  <w:num w:numId="6" w16cid:durableId="488256837">
    <w:abstractNumId w:val="0"/>
  </w:num>
  <w:num w:numId="7" w16cid:durableId="1350570310">
    <w:abstractNumId w:val="8"/>
  </w:num>
  <w:num w:numId="8" w16cid:durableId="821385770">
    <w:abstractNumId w:val="1"/>
  </w:num>
  <w:num w:numId="9" w16cid:durableId="1091508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44"/>
    <w:rsid w:val="00035C32"/>
    <w:rsid w:val="000672EB"/>
    <w:rsid w:val="001179D5"/>
    <w:rsid w:val="00152EB8"/>
    <w:rsid w:val="001605B4"/>
    <w:rsid w:val="001D2F99"/>
    <w:rsid w:val="001F5F6C"/>
    <w:rsid w:val="001F636F"/>
    <w:rsid w:val="00220EA4"/>
    <w:rsid w:val="00223D7F"/>
    <w:rsid w:val="002F620A"/>
    <w:rsid w:val="00345229"/>
    <w:rsid w:val="00372F24"/>
    <w:rsid w:val="0037351A"/>
    <w:rsid w:val="0037782E"/>
    <w:rsid w:val="00396A50"/>
    <w:rsid w:val="003A07C3"/>
    <w:rsid w:val="003A6B08"/>
    <w:rsid w:val="003B7579"/>
    <w:rsid w:val="00427151"/>
    <w:rsid w:val="00484C02"/>
    <w:rsid w:val="004B01EF"/>
    <w:rsid w:val="004D0475"/>
    <w:rsid w:val="00543FBA"/>
    <w:rsid w:val="00566AF9"/>
    <w:rsid w:val="006160C1"/>
    <w:rsid w:val="006C16AF"/>
    <w:rsid w:val="007056A5"/>
    <w:rsid w:val="007520B0"/>
    <w:rsid w:val="00763BFA"/>
    <w:rsid w:val="007E4D77"/>
    <w:rsid w:val="00836C44"/>
    <w:rsid w:val="00856CB6"/>
    <w:rsid w:val="00885BC1"/>
    <w:rsid w:val="00887B08"/>
    <w:rsid w:val="008A129B"/>
    <w:rsid w:val="008B6A99"/>
    <w:rsid w:val="008C3CDB"/>
    <w:rsid w:val="009063B8"/>
    <w:rsid w:val="00A127F3"/>
    <w:rsid w:val="00A510CE"/>
    <w:rsid w:val="00AC495A"/>
    <w:rsid w:val="00AE36DE"/>
    <w:rsid w:val="00B25ADB"/>
    <w:rsid w:val="00B5743A"/>
    <w:rsid w:val="00B62CC8"/>
    <w:rsid w:val="00B67DD6"/>
    <w:rsid w:val="00BE0DF9"/>
    <w:rsid w:val="00C43ED3"/>
    <w:rsid w:val="00C464D9"/>
    <w:rsid w:val="00C539DB"/>
    <w:rsid w:val="00C562A7"/>
    <w:rsid w:val="00C90831"/>
    <w:rsid w:val="00CA2C49"/>
    <w:rsid w:val="00CC7EEC"/>
    <w:rsid w:val="00CD4A0B"/>
    <w:rsid w:val="00CF6537"/>
    <w:rsid w:val="00CF7797"/>
    <w:rsid w:val="00D02407"/>
    <w:rsid w:val="00D32017"/>
    <w:rsid w:val="00D54CC0"/>
    <w:rsid w:val="00D855E9"/>
    <w:rsid w:val="00D943B4"/>
    <w:rsid w:val="00DA4A4F"/>
    <w:rsid w:val="00DF5E13"/>
    <w:rsid w:val="00E16C5E"/>
    <w:rsid w:val="00E40135"/>
    <w:rsid w:val="00E611B1"/>
    <w:rsid w:val="00EE77D4"/>
    <w:rsid w:val="00F16EB7"/>
    <w:rsid w:val="00F462ED"/>
    <w:rsid w:val="00F83D4B"/>
    <w:rsid w:val="00FB10E6"/>
    <w:rsid w:val="00FE3D9F"/>
    <w:rsid w:val="00FF1DDB"/>
    <w:rsid w:val="080A95F8"/>
    <w:rsid w:val="0A34E363"/>
    <w:rsid w:val="30D6C66A"/>
    <w:rsid w:val="53967C26"/>
    <w:rsid w:val="5815FAF6"/>
    <w:rsid w:val="59668750"/>
    <w:rsid w:val="6AAB2C27"/>
    <w:rsid w:val="737B5D5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A8401C"/>
  <w15:docId w15:val="{7F0413F4-80E8-4BC3-93F4-0197C797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6C44"/>
    <w:pPr>
      <w:spacing w:after="0" w:line="240" w:lineRule="auto"/>
    </w:pPr>
    <w:rPr>
      <w:rFonts w:ascii="Arial" w:eastAsia="Times New Roman" w:hAnsi="Arial" w:cs="Arial"/>
      <w:lang w:val="fr-CH" w:eastAsia="de-CH"/>
    </w:rPr>
  </w:style>
  <w:style w:type="paragraph" w:styleId="berschrift1">
    <w:name w:val="heading 1"/>
    <w:basedOn w:val="Standard"/>
    <w:next w:val="Standard"/>
    <w:link w:val="berschrift1Zchn"/>
    <w:uiPriority w:val="9"/>
    <w:qFormat/>
    <w:rsid w:val="00BE0DF9"/>
    <w:pPr>
      <w:keepNext/>
      <w:spacing w:before="240" w:after="60"/>
      <w:outlineLvl w:val="0"/>
    </w:pPr>
    <w:rPr>
      <w:rFonts w:eastAsiaTheme="majorEastAsia" w:cstheme="majorBidi"/>
      <w:b/>
      <w:bCs/>
      <w:sz w:val="32"/>
      <w:szCs w:val="28"/>
    </w:rPr>
  </w:style>
  <w:style w:type="paragraph" w:styleId="berschrift2">
    <w:name w:val="heading 2"/>
    <w:basedOn w:val="Standard"/>
    <w:next w:val="Standard"/>
    <w:link w:val="berschrift2Zchn"/>
    <w:uiPriority w:val="9"/>
    <w:qFormat/>
    <w:rsid w:val="00BE0DF9"/>
    <w:pPr>
      <w:keepNext/>
      <w:spacing w:before="240" w:after="60"/>
      <w:outlineLvl w:val="1"/>
    </w:pPr>
    <w:rPr>
      <w:rFonts w:eastAsiaTheme="majorEastAsia" w:cstheme="majorBidi"/>
      <w:b/>
      <w:bCs/>
      <w:i/>
      <w:sz w:val="28"/>
      <w:szCs w:val="26"/>
    </w:rPr>
  </w:style>
  <w:style w:type="paragraph" w:styleId="berschrift3">
    <w:name w:val="heading 3"/>
    <w:basedOn w:val="Standard"/>
    <w:next w:val="Standard"/>
    <w:link w:val="berschrift3Zchn"/>
    <w:uiPriority w:val="9"/>
    <w:qFormat/>
    <w:rsid w:val="00BE0DF9"/>
    <w:pPr>
      <w:keepNext/>
      <w:spacing w:before="240" w:after="60"/>
      <w:outlineLvl w:val="2"/>
    </w:pPr>
    <w:rPr>
      <w:rFonts w:eastAsiaTheme="majorEastAsia" w:cstheme="majorBidi"/>
      <w:b/>
      <w:bCs/>
      <w:sz w:val="26"/>
    </w:rPr>
  </w:style>
  <w:style w:type="paragraph" w:styleId="berschrift4">
    <w:name w:val="heading 4"/>
    <w:basedOn w:val="Standard"/>
    <w:next w:val="Standard"/>
    <w:link w:val="berschrift4Zchn"/>
    <w:uiPriority w:val="9"/>
    <w:semiHidden/>
    <w:qFormat/>
    <w:rsid w:val="00D32017"/>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qFormat/>
    <w:rsid w:val="00D32017"/>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qFormat/>
    <w:rsid w:val="00D32017"/>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qFormat/>
    <w:rsid w:val="00D32017"/>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D3201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qFormat/>
    <w:rsid w:val="000672E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0DF9"/>
    <w:rPr>
      <w:rFonts w:ascii="Arial" w:eastAsiaTheme="majorEastAsia" w:hAnsi="Arial" w:cstheme="majorBidi"/>
      <w:b/>
      <w:bCs/>
      <w:sz w:val="32"/>
      <w:szCs w:val="28"/>
    </w:rPr>
  </w:style>
  <w:style w:type="character" w:customStyle="1" w:styleId="berschrift2Zchn">
    <w:name w:val="Überschrift 2 Zchn"/>
    <w:basedOn w:val="Absatz-Standardschriftart"/>
    <w:link w:val="berschrift2"/>
    <w:uiPriority w:val="9"/>
    <w:rsid w:val="00BE0DF9"/>
    <w:rPr>
      <w:rFonts w:ascii="Arial" w:eastAsiaTheme="majorEastAsia" w:hAnsi="Arial" w:cstheme="majorBidi"/>
      <w:b/>
      <w:bCs/>
      <w:i/>
      <w:sz w:val="28"/>
      <w:szCs w:val="26"/>
    </w:rPr>
  </w:style>
  <w:style w:type="character" w:customStyle="1" w:styleId="berschrift3Zchn">
    <w:name w:val="Überschrift 3 Zchn"/>
    <w:basedOn w:val="Absatz-Standardschriftart"/>
    <w:link w:val="berschrift3"/>
    <w:uiPriority w:val="9"/>
    <w:rsid w:val="00BE0DF9"/>
    <w:rPr>
      <w:rFonts w:ascii="Arial" w:eastAsiaTheme="majorEastAsia" w:hAnsi="Arial" w:cstheme="majorBidi"/>
      <w:b/>
      <w:bCs/>
      <w:sz w:val="26"/>
    </w:rPr>
  </w:style>
  <w:style w:type="character" w:customStyle="1" w:styleId="berschrift4Zchn">
    <w:name w:val="Überschrift 4 Zchn"/>
    <w:basedOn w:val="Absatz-Standardschriftart"/>
    <w:link w:val="berschrift4"/>
    <w:uiPriority w:val="9"/>
    <w:semiHidden/>
    <w:rsid w:val="000672EB"/>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0672EB"/>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0672EB"/>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0672EB"/>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0672E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0672EB"/>
    <w:rPr>
      <w:rFonts w:asciiTheme="majorHAnsi" w:eastAsiaTheme="majorEastAsia" w:hAnsiTheme="majorHAnsi" w:cstheme="majorBidi"/>
      <w:i/>
      <w:iCs/>
      <w:color w:val="404040" w:themeColor="text1" w:themeTint="BF"/>
      <w:sz w:val="20"/>
      <w:szCs w:val="20"/>
    </w:rPr>
  </w:style>
  <w:style w:type="paragraph" w:styleId="Listenabsatz">
    <w:name w:val="List Paragraph"/>
    <w:aliases w:val="SBB Listenabsatz"/>
    <w:basedOn w:val="Standard"/>
    <w:uiPriority w:val="34"/>
    <w:qFormat/>
    <w:rsid w:val="00836C44"/>
    <w:pPr>
      <w:ind w:left="720"/>
      <w:contextualSpacing/>
    </w:pPr>
  </w:style>
  <w:style w:type="paragraph" w:styleId="Titel">
    <w:name w:val="Title"/>
    <w:basedOn w:val="Standard"/>
    <w:next w:val="Standard"/>
    <w:link w:val="TitelZchn"/>
    <w:uiPriority w:val="10"/>
    <w:qFormat/>
    <w:rsid w:val="00836C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836C44"/>
    <w:rPr>
      <w:rFonts w:asciiTheme="majorHAnsi" w:eastAsiaTheme="majorEastAsia" w:hAnsiTheme="majorHAnsi" w:cstheme="majorBidi"/>
      <w:color w:val="17365D" w:themeColor="text2" w:themeShade="BF"/>
      <w:spacing w:val="5"/>
      <w:kern w:val="28"/>
      <w:sz w:val="52"/>
      <w:szCs w:val="52"/>
      <w:lang w:val="fr-FR" w:eastAsia="de-CH"/>
    </w:rPr>
  </w:style>
  <w:style w:type="table" w:styleId="Tabellenraster">
    <w:name w:val="Table Grid"/>
    <w:basedOn w:val="NormaleTabelle"/>
    <w:uiPriority w:val="59"/>
    <w:rsid w:val="00836C44"/>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eastAsia="Times New Roman" w:hAnsi="Arial" w:cs="Arial"/>
      <w:sz w:val="20"/>
      <w:szCs w:val="20"/>
      <w:lang w:val="fr-FR" w:eastAsia="de-CH"/>
    </w:rPr>
  </w:style>
  <w:style w:type="character" w:styleId="Kommentarzeichen">
    <w:name w:val="annotation reference"/>
    <w:basedOn w:val="Absatz-Standardschriftart"/>
    <w:uiPriority w:val="99"/>
    <w:semiHidden/>
    <w:unhideWhenUsed/>
    <w:rPr>
      <w:sz w:val="16"/>
      <w:szCs w:val="16"/>
    </w:rPr>
  </w:style>
  <w:style w:type="character" w:styleId="Hyperlink">
    <w:name w:val="Hyperlink"/>
    <w:basedOn w:val="Absatz-Standardschriftart"/>
    <w:uiPriority w:val="99"/>
    <w:unhideWhenUsed/>
    <w:rsid w:val="00885BC1"/>
    <w:rPr>
      <w:color w:val="0000FF" w:themeColor="hyperlink"/>
      <w:u w:val="single"/>
    </w:rPr>
  </w:style>
  <w:style w:type="character" w:styleId="NichtaufgelsteErwhnung">
    <w:name w:val="Unresolved Mention"/>
    <w:basedOn w:val="Absatz-Standardschriftart"/>
    <w:uiPriority w:val="99"/>
    <w:semiHidden/>
    <w:unhideWhenUsed/>
    <w:rsid w:val="00885BC1"/>
    <w:rPr>
      <w:color w:val="605E5C"/>
      <w:shd w:val="clear" w:color="auto" w:fill="E1DFDD"/>
    </w:rPr>
  </w:style>
  <w:style w:type="character" w:styleId="Erwhnung">
    <w:name w:val="Mention"/>
    <w:basedOn w:val="Absatz-Standardschriftart"/>
    <w:uiPriority w:val="99"/>
    <w:unhideWhenUsed/>
    <w:rPr>
      <w:color w:val="2B579A"/>
      <w:shd w:val="clear" w:color="auto" w:fill="E6E6E6"/>
    </w:rPr>
  </w:style>
  <w:style w:type="paragraph" w:customStyle="1" w:styleId="einzug">
    <w:name w:val="einzug"/>
    <w:basedOn w:val="Textkrper"/>
    <w:rsid w:val="00DA4A4F"/>
    <w:pPr>
      <w:spacing w:before="240" w:after="60" w:line="256" w:lineRule="auto"/>
    </w:pPr>
    <w:rPr>
      <w:rFonts w:ascii="Times New Roman" w:hAnsi="Times New Roman" w:cs="Times New Roman"/>
      <w:sz w:val="24"/>
      <w:szCs w:val="20"/>
      <w:lang w:val="fr-FR" w:eastAsia="de-DE"/>
    </w:rPr>
  </w:style>
  <w:style w:type="paragraph" w:styleId="Textkrper">
    <w:name w:val="Body Text"/>
    <w:basedOn w:val="Standard"/>
    <w:link w:val="TextkrperZchn"/>
    <w:uiPriority w:val="99"/>
    <w:semiHidden/>
    <w:unhideWhenUsed/>
    <w:rsid w:val="00DA4A4F"/>
    <w:pPr>
      <w:spacing w:after="120"/>
    </w:pPr>
  </w:style>
  <w:style w:type="character" w:customStyle="1" w:styleId="TextkrperZchn">
    <w:name w:val="Textkörper Zchn"/>
    <w:basedOn w:val="Absatz-Standardschriftart"/>
    <w:link w:val="Textkrper"/>
    <w:uiPriority w:val="99"/>
    <w:semiHidden/>
    <w:rsid w:val="00DA4A4F"/>
    <w:rPr>
      <w:rFonts w:ascii="Arial" w:eastAsia="Times New Roman" w:hAnsi="Arial" w:cs="Arial"/>
      <w:lang w:val="fr-FR" w:eastAsia="de-CH"/>
    </w:rPr>
  </w:style>
  <w:style w:type="character" w:styleId="BesuchterLink">
    <w:name w:val="FollowedHyperlink"/>
    <w:basedOn w:val="Absatz-Standardschriftart"/>
    <w:uiPriority w:val="99"/>
    <w:semiHidden/>
    <w:unhideWhenUsed/>
    <w:rsid w:val="00F83D4B"/>
    <w:rPr>
      <w:color w:val="800080" w:themeColor="followedHyperlink"/>
      <w:u w:val="single"/>
    </w:rPr>
  </w:style>
  <w:style w:type="paragraph" w:styleId="berarbeitung">
    <w:name w:val="Revision"/>
    <w:hidden/>
    <w:uiPriority w:val="99"/>
    <w:semiHidden/>
    <w:rsid w:val="00C43ED3"/>
    <w:pPr>
      <w:spacing w:after="0" w:line="240" w:lineRule="auto"/>
    </w:pPr>
    <w:rPr>
      <w:rFonts w:ascii="Arial" w:eastAsia="Times New Roman" w:hAnsi="Arial" w:cs="Arial"/>
      <w:lang w:val="fr-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wisspass.ch/home?lang=fr" TargetMode="External"/><Relationship Id="rId5" Type="http://schemas.openxmlformats.org/officeDocument/2006/relationships/styles" Target="styles.xml"/><Relationship Id="rId10" Type="http://schemas.openxmlformats.org/officeDocument/2006/relationships/hyperlink" Target="https://business.sbb.ch/fr/inscription/procedure-enregistrement/comment-ca-marche.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DE3815F91F612429191A91E54BF43DF" ma:contentTypeVersion="19" ma:contentTypeDescription="Ein neues Dokument erstellen." ma:contentTypeScope="" ma:versionID="7ec0e33e446f2618dfa265752431a6b3">
  <xsd:schema xmlns:xsd="http://www.w3.org/2001/XMLSchema" xmlns:xs="http://www.w3.org/2001/XMLSchema" xmlns:p="http://schemas.microsoft.com/office/2006/metadata/properties" xmlns:ns2="44c0830c-b9e6-45cf-b257-1b865a20fc29" xmlns:ns3="64664251-1c74-4052-83e8-d50dc1d2cd7f" targetNamespace="http://schemas.microsoft.com/office/2006/metadata/properties" ma:root="true" ma:fieldsID="3f7475085af734aa460f085d714c87d5" ns2:_="" ns3:_="">
    <xsd:import namespace="44c0830c-b9e6-45cf-b257-1b865a20fc29"/>
    <xsd:import namespace="64664251-1c74-4052-83e8-d50dc1d2cd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0830c-b9e6-45cf-b257-1b865a20f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e7e7b05-955d-4ec1-8c45-691041b8b0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664251-1c74-4052-83e8-d50dc1d2cd7f"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a256db1-7c1d-4743-a69c-5b93168ff2ef}" ma:internalName="TaxCatchAll" ma:showField="CatchAllData" ma:web="64664251-1c74-4052-83e8-d50dc1d2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TaxCatchAll xmlns="64664251-1c74-4052-83e8-d50dc1d2cd7f" xsi:nil="true"/>
    <lcf76f155ced4ddcb4097134ff3c332f xmlns="44c0830c-b9e6-45cf-b257-1b865a20fc29">
      <pc: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DC2011-3168-461F-A8BC-FC91881772C5}"/>
</file>

<file path=customXml/itemProps2.xml><?xml version="1.0" encoding="utf-8"?>
<ds:datastoreItem xmlns:ds="http://schemas.openxmlformats.org/officeDocument/2006/customXml" ds:itemID="{F5C4E6BF-4074-4BCA-B175-A088728248AC}"/>
</file>

<file path=customXml/itemProps3.xml><?xml version="1.0" encoding="utf-8"?>
<ds:datastoreItem xmlns:ds="http://schemas.openxmlformats.org/officeDocument/2006/customXml" ds:itemID="{155366B1-1D21-42F6-ABE1-CFC83CFBB0D8}">
  <ds:schemaRefs>
    <ds:schemaRef ds:uri="http://schemas.microsoft.com/office/2006/metadata/properties"/>
    <ds:schemaRef ds:uri="http://schemas.microsoft.com/office/infopath/2007/PartnerControls"/>
    <ds:schemaRef ds:uri="http://www.star-group.net/schemas/transit/filters/textdata"/>
    <ds:schemaRef ds:uri="64664251-1c74-4052-83e8-d50dc1d2cd7f"/>
    <ds:schemaRef ds:uri="44c0830c-b9e6-45cf-b257-1b865a20fc29"/>
  </ds:schemaRefs>
</ds:datastoreItem>
</file>

<file path=docMetadata/LabelInfo.xml><?xml version="1.0" encoding="utf-8"?>
<clbl:labelList xmlns:clbl="http://schemas.microsoft.com/office/2020/mipLabelMetadata">
  <clbl:label id="{2cda5d11-f0ac-46b3-967d-af1b2e1bd01a}" enabled="0" method="" siteId="{2cda5d11-f0ac-46b3-967d-af1b2e1bd01a}"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1543</Words>
  <Characters>9723</Characters>
  <Application>Microsoft Office Word</Application>
  <DocSecurity>4</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SBB AG</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u126503</dc:creator>
  <cp:lastModifiedBy>Rohner Bruno (MP-VS-BEV-GK-GMO)</cp:lastModifiedBy>
  <cp:revision>2</cp:revision>
  <cp:lastPrinted>2011-10-27T05:36:00Z</cp:lastPrinted>
  <dcterms:created xsi:type="dcterms:W3CDTF">2025-12-04T15:58:00Z</dcterms:created>
  <dcterms:modified xsi:type="dcterms:W3CDTF">2025-12-04T15:58:00Z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-743387377</vt:i4>
  </property>
  <property fmtid="{D5CDD505-2E9C-101B-9397-08002B2CF9AE}" pid="3" name="_NewReviewCycle">
    <vt:lpwstr/>
  </property>
  <property fmtid="{D5CDD505-2E9C-101B-9397-08002B2CF9AE}" pid="4" name="_EmailSubject">
    <vt:lpwstr>Reiserichtlinien</vt:lpwstr>
  </property>
  <property fmtid="{D5CDD505-2E9C-101B-9397-08002B2CF9AE}" pid="5" name="_AuthorEmail">
    <vt:lpwstr>peter.em.emmenegger@sbb.ch</vt:lpwstr>
  </property>
  <property fmtid="{D5CDD505-2E9C-101B-9397-08002B2CF9AE}" pid="6" name="_AuthorEmailDisplayName">
    <vt:lpwstr>Emmenegger Peter (P-VS-GK)</vt:lpwstr>
  </property>
  <property fmtid="{D5CDD505-2E9C-101B-9397-08002B2CF9AE}" pid="7" name="_ReviewingToolsShownOnce">
    <vt:lpwstr/>
  </property>
  <property fmtid="{D5CDD505-2E9C-101B-9397-08002B2CF9AE}" pid="8" name="ContentTypeId">
    <vt:lpwstr>0x0101007DE3815F91F612429191A91E54BF43DF</vt:lpwstr>
  </property>
  <property fmtid="{D5CDD505-2E9C-101B-9397-08002B2CF9AE}" pid="9" name="MediaServiceImageTags">
    <vt:lpwstr/>
  </property>
</Properties>
</file>